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73" w:rsidRPr="007E6A73" w:rsidRDefault="007E6A73" w:rsidP="007E6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7E6A73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387AC" wp14:editId="0E88984C">
                <wp:simplePos x="0" y="0"/>
                <wp:positionH relativeFrom="column">
                  <wp:posOffset>6809105</wp:posOffset>
                </wp:positionH>
                <wp:positionV relativeFrom="paragraph">
                  <wp:posOffset>247650</wp:posOffset>
                </wp:positionV>
                <wp:extent cx="1920240" cy="548640"/>
                <wp:effectExtent l="8255" t="952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73" w:rsidRDefault="007E6A73" w:rsidP="007E6A73">
                            <w:pPr>
                              <w:pStyle w:val="Ttulo4"/>
                              <w:jc w:val="center"/>
                            </w:pPr>
                            <w:r>
                              <w:t>ENERO 2018</w:t>
                            </w:r>
                          </w:p>
                          <w:p w:rsidR="007E6A73" w:rsidRPr="007E6A73" w:rsidRDefault="007E6A73" w:rsidP="007E6A73">
                            <w:pPr>
                              <w:jc w:val="center"/>
                            </w:pPr>
                            <w:r>
                              <w:t>2ª Quincena</w:t>
                            </w:r>
                          </w:p>
                          <w:p w:rsidR="007E6A73" w:rsidRDefault="007E6A73" w:rsidP="007E6A73">
                            <w:pPr>
                              <w:pStyle w:val="Ttulo4"/>
                            </w:pPr>
                            <w:r>
                              <w:t>1ª QUINCENA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5pt;margin-top:19.5pt;width:15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">
                <v:textbox>
                  <w:txbxContent>
                    <w:p w:rsidR="007E6A73" w:rsidRDefault="007E6A73" w:rsidP="007E6A73">
                      <w:pPr>
                        <w:pStyle w:val="Ttulo4"/>
                        <w:jc w:val="center"/>
                      </w:pPr>
                      <w:r>
                        <w:t>ENERO 2018</w:t>
                      </w:r>
                    </w:p>
                    <w:p w:rsidR="007E6A73" w:rsidRPr="007E6A73" w:rsidRDefault="007E6A73" w:rsidP="007E6A73">
                      <w:pPr>
                        <w:jc w:val="center"/>
                      </w:pPr>
                      <w:r>
                        <w:t>2ª Quincena</w:t>
                      </w:r>
                    </w:p>
                    <w:p w:rsidR="007E6A73" w:rsidRDefault="007E6A73" w:rsidP="007E6A73">
                      <w:pPr>
                        <w:pStyle w:val="Ttulo4"/>
                      </w:pPr>
                      <w:r>
                        <w:t>1ª QUINCENA</w:t>
                      </w:r>
                    </w:p>
                  </w:txbxContent>
                </v:textbox>
              </v:shape>
            </w:pict>
          </mc:Fallback>
        </mc:AlternateContent>
      </w:r>
      <w:r w:rsidRPr="007E6A73">
        <w:rPr>
          <w:rFonts w:ascii="Arial" w:eastAsia="Times New Roman" w:hAnsi="Arial" w:cs="Times New Roman"/>
          <w:noProof/>
          <w:color w:val="FFFFFF"/>
          <w:sz w:val="20"/>
          <w:szCs w:val="20"/>
          <w:bdr w:val="single" w:sz="4" w:space="0" w:color="auto" w:frame="1"/>
          <w:lang w:eastAsia="es-ES"/>
        </w:rPr>
        <w:drawing>
          <wp:inline distT="0" distB="0" distL="0" distR="0" wp14:anchorId="294741AD" wp14:editId="2DAF47D1">
            <wp:extent cx="4839335" cy="793750"/>
            <wp:effectExtent l="19050" t="0" r="0" b="0"/>
            <wp:docPr id="3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73" w:rsidRPr="007E6A73" w:rsidRDefault="007E6A73" w:rsidP="007E6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7E6A73" w:rsidRPr="007E6A73" w:rsidTr="007E5EE6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A73" w:rsidRPr="007E6A73" w:rsidRDefault="007E6A73" w:rsidP="007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E6A73" w:rsidRPr="007E6A73" w:rsidRDefault="007E6A73" w:rsidP="007E6A7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7E6A73" w:rsidRPr="007E6A73" w:rsidRDefault="007E6A73" w:rsidP="007E6A7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7E6A73" w:rsidRPr="007E6A73" w:rsidRDefault="007E6A73" w:rsidP="007E6A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7E6A73" w:rsidRPr="007E6A73" w:rsidRDefault="007E6A73" w:rsidP="007E6A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7E6A73" w:rsidRPr="007E6A73" w:rsidTr="007E5EE6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A73" w:rsidRPr="007E6A73" w:rsidRDefault="007E6A73" w:rsidP="007E6A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7E6A73" w:rsidRPr="007E6A73" w:rsidRDefault="007E6A73" w:rsidP="007E6A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7E6A73" w:rsidRPr="007E6A73" w:rsidRDefault="007E6A73" w:rsidP="007E6A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A73" w:rsidRPr="007E6A73" w:rsidRDefault="007E6A73" w:rsidP="007E6A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7E6A73" w:rsidRPr="007E6A73" w:rsidRDefault="007E6A73" w:rsidP="007E6A73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A73" w:rsidRPr="007E6A73" w:rsidRDefault="007E6A73" w:rsidP="007E6A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7E6A73" w:rsidRPr="007E6A73" w:rsidRDefault="007E6A73" w:rsidP="007E6A7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A73" w:rsidRPr="007E6A73" w:rsidRDefault="007E6A73" w:rsidP="007E6A7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7E6A73" w:rsidRPr="007E6A73" w:rsidRDefault="007E6A73" w:rsidP="007E6A7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7E6A73" w:rsidRPr="007E6A73" w:rsidTr="007E5EE6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A73" w:rsidRPr="007E6A73" w:rsidRDefault="00DB2F06" w:rsidP="00DB2F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16.01.18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7E6A73" w:rsidP="00DB2F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</w:t>
            </w:r>
            <w:r w:rsidR="00DB2F06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</w:t>
            </w:r>
            <w:r w:rsidRPr="007E6A73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DB2F06" w:rsidP="00DB2F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Acción Social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73" w:rsidRPr="007E6A73" w:rsidRDefault="00DB2F06" w:rsidP="007E6A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172/17, de 26.12, por el que se aprueban las bases reguladoras y la convocatoria pública de </w:t>
            </w:r>
            <w:r w:rsidRPr="00DB2F06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subvenciones para la atención e integración social del colectivo de personas con discapacidad para el año 2018 (Corrección de errores).</w:t>
            </w:r>
          </w:p>
          <w:p w:rsidR="007E6A73" w:rsidRDefault="002A6927" w:rsidP="007E6A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8" w:history="1">
              <w:r w:rsidR="001C5392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http://www.bizkaia.eus/lehendakaritza/Bao_bob/2018/01/16/I-58_cas.pdf?hash=d8357fd38db05ba011db7cfd6f314de2</w:t>
              </w:r>
            </w:hyperlink>
          </w:p>
          <w:p w:rsidR="001C5392" w:rsidRPr="007E6A73" w:rsidRDefault="001C5392" w:rsidP="007E6A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E6A73" w:rsidRPr="007E6A73" w:rsidTr="007E5EE6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A73" w:rsidRPr="007E6A73" w:rsidRDefault="00DB2F06" w:rsidP="00DB2F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</w:t>
            </w:r>
            <w:r w:rsidR="007E6A73"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17.01.18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7E6A73" w:rsidP="00DB2F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</w:t>
            </w:r>
            <w:r w:rsidR="00DB2F06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</w:t>
            </w:r>
            <w:r w:rsidRPr="007E6A73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DB2F06" w:rsidP="00DB2F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73" w:rsidRPr="007E6A73" w:rsidRDefault="00DB2F06" w:rsidP="007E6A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Foral 49/18, de 9.01, por la que se modifican la Orden Foral 2281/16, de 23.12, por la que se aprueba el modelo 181 de declaración informativa  de préstamos y créditos, y operaciones financieras relacionadas con bienes inmuebles, la Orden Foral 2211/16, de 15.12, por la que se aprueba el modelo 193 de resumen anual de retenciones e ingresos a cuenta sobre determinados rendimientos del capital mobiliario </w:t>
            </w:r>
            <w:r w:rsidRPr="00DB2F06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del Impuesto sobre la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</w:t>
            </w:r>
            <w:r w:rsidRPr="00DB2F06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Renta de las Personas Físicas y sobre determinas rentas del Impuesto sobre Sociedades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y del Impuesto sobre la Renta de no Residentes, correspondiente a establecimientos permanentes, normal y simplificado y la Orden Foral 2282/16, de 23.12, por la que se aprueba el modelo 198 de declaración anual de operaciones con activos financieros y otros valores inmobiliarios.</w:t>
            </w:r>
          </w:p>
          <w:p w:rsidR="007E6A73" w:rsidRDefault="002A6927" w:rsidP="007E6A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9" w:history="1">
              <w:r w:rsidR="001C5392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http://www.bizkaia.eus/lehendakaritza/Bao_bob/2018/01/17/I-21_cas.pdf?hash=157b926e1fffbc5faac09ebf00b80dfa</w:t>
              </w:r>
            </w:hyperlink>
          </w:p>
          <w:p w:rsidR="001C5392" w:rsidRPr="007E6A73" w:rsidRDefault="001C5392" w:rsidP="007E6A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BE1E8D" w:rsidRPr="007E6A73" w:rsidTr="00BE1E8D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E8D" w:rsidRPr="007E6A73" w:rsidRDefault="00BE1E8D" w:rsidP="00854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18.01.18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1E8D" w:rsidRPr="00BE1E8D" w:rsidRDefault="00BE1E8D" w:rsidP="00854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BE1E8D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1E8D" w:rsidRPr="007E6A73" w:rsidRDefault="00BE1E8D" w:rsidP="00854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Seg. Soc.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E8D" w:rsidRPr="007E6A73" w:rsidRDefault="00BE1E8D" w:rsidP="00854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3.01.18, por la que se fija la </w:t>
            </w:r>
            <w:r w:rsidRPr="00BE1E8D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fecha a partir de la cual se notificarán electrónicamente las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</w:t>
            </w:r>
            <w:r w:rsidRPr="00BE1E8D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resoluciones sobre la elevación a definitivas de las actas de liquidación de cuotas de la Seguridad Social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, así como de las actas</w:t>
            </w:r>
            <w:r w:rsidR="00896226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de liquidación conjuntas con las acta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s de infracción levantadas por la </w:t>
            </w:r>
            <w:r w:rsidRPr="00BE1E8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Inspección de Trabajo y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</w:t>
            </w:r>
            <w:r w:rsidRPr="00BE1E8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Seguridad Social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; las resoluciones sobre imposición de sanciones por infracciones en materia de Seguridad Social competencia de la Tesorería General de la Seguridad Social; y las resoluciones de las impugnaciones administrativas y formuladas frente a los actos dictados por la Tesorería General de la Seguridad Social en las materias de su competencia, salvo en materia de recursos humanos.</w:t>
            </w:r>
          </w:p>
          <w:p w:rsidR="00BE1E8D" w:rsidRDefault="00BE1E8D" w:rsidP="00854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0" w:history="1">
              <w:r w:rsidRPr="00BE1E8D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https://www.boe.es/boe/dias/2018/01/18/pdfs/BOE-A-2018-664.pdf</w:t>
              </w:r>
            </w:hyperlink>
          </w:p>
          <w:p w:rsidR="00BE1E8D" w:rsidRPr="007E6A73" w:rsidRDefault="00BE1E8D" w:rsidP="008546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E6A73" w:rsidRPr="007E6A73" w:rsidTr="007E5EE6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A73" w:rsidRPr="007E6A73" w:rsidRDefault="00DB2F06" w:rsidP="00DB2F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18.01.18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7E6A73" w:rsidP="00DB2F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</w:t>
            </w:r>
            <w:r w:rsidR="00DB2F06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</w:t>
            </w: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DB2F06" w:rsidP="00DB2F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73" w:rsidRPr="008B1A65" w:rsidRDefault="00DB2F06" w:rsidP="007E6A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Foral 48/18, de 9.01, por la que se aprueba el </w:t>
            </w:r>
            <w:r w:rsidRPr="008B1A65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modelo 187, declaración informativa anual relativa a adquisiciones y enajenaciones de acciones y participaciones representativas del capital o patrimonio de las instituciones de inversión colectiva.</w:t>
            </w:r>
          </w:p>
          <w:p w:rsidR="007E6A73" w:rsidRDefault="002A6927" w:rsidP="007E6A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1" w:history="1">
              <w:r w:rsidR="001C5392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http://www.bizkaia.eus/lehendakaritza/Bao_bob/2018/01/18/I-23_cas.pdf?hash=d20b76c7392e44bbbb6eda10ca6a2172</w:t>
              </w:r>
            </w:hyperlink>
          </w:p>
          <w:p w:rsidR="001C5392" w:rsidRPr="007E6A73" w:rsidRDefault="001C5392" w:rsidP="007E6A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E6A73" w:rsidRPr="007E6A73" w:rsidTr="007E5EE6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A73" w:rsidRPr="007E6A73" w:rsidRDefault="008B1A65" w:rsidP="008B1A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19.01.18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7E6A73" w:rsidP="008B1A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</w:t>
            </w:r>
            <w:r w:rsidR="008B1A65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</w:t>
            </w: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8B1A65" w:rsidP="008B1A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73" w:rsidRPr="008B1A65" w:rsidRDefault="008B1A65" w:rsidP="007E6A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Foral 81/18, de 11.01, de modificación de la Orden Foral 2157/17, de 4.12, por la que </w:t>
            </w:r>
            <w:r w:rsidRPr="008B1A65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aprueban los índices y módulos del régimen especial simplificado del Impuesto sobre el Valor Añadido para el año 2018.</w:t>
            </w:r>
          </w:p>
          <w:p w:rsidR="007E6A73" w:rsidRDefault="002A6927" w:rsidP="007E6A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2" w:history="1">
              <w:r w:rsidR="001C5392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http://www.bizkaia.eus/lehendakaritza/Bao_bob/2018/01/19/I-47_cas.pdf?hash=6f15d46b61c1b89f30e7a06d2d7a2b15</w:t>
              </w:r>
            </w:hyperlink>
          </w:p>
          <w:p w:rsidR="001C5392" w:rsidRPr="007E6A73" w:rsidRDefault="001C5392" w:rsidP="007E6A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E6A73" w:rsidRPr="007E6A73" w:rsidTr="007E5EE6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6A73" w:rsidRPr="007E6A73" w:rsidRDefault="007E6A73" w:rsidP="007E6A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A73" w:rsidRPr="007E6A73" w:rsidRDefault="007E6A73" w:rsidP="007E6A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A73" w:rsidRPr="007E6A73" w:rsidRDefault="007E6A73" w:rsidP="007E6A73">
            <w:pPr>
              <w:spacing w:after="0" w:line="240" w:lineRule="auto"/>
              <w:ind w:right="72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A73" w:rsidRPr="007E6A73" w:rsidRDefault="007E6A73" w:rsidP="007E6A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743474" w:rsidRDefault="007434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7E6A73" w:rsidRPr="007E6A73" w:rsidTr="007E5EE6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A73" w:rsidRPr="007E6A73" w:rsidRDefault="007E6A73" w:rsidP="007E5EE6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7E6A73" w:rsidRPr="007E6A73" w:rsidRDefault="007E6A73" w:rsidP="007E5EE6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7E6A73" w:rsidRPr="007E6A73" w:rsidRDefault="007E6A73" w:rsidP="007E5E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7E6A73" w:rsidRPr="007E6A73" w:rsidRDefault="007E6A73" w:rsidP="007E5E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7E6A73" w:rsidRPr="007E6A73" w:rsidTr="007E5EE6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A73" w:rsidRPr="007E6A73" w:rsidRDefault="007E6A73" w:rsidP="007E5EE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7E6A73" w:rsidRPr="007E6A73" w:rsidRDefault="007E6A73" w:rsidP="007E5EE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7E6A73" w:rsidRPr="007E6A73" w:rsidRDefault="007E6A73" w:rsidP="007E5EE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A73" w:rsidRPr="007E6A73" w:rsidRDefault="007E6A73" w:rsidP="007E5EE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7E6A73" w:rsidRPr="007E6A73" w:rsidRDefault="007E6A73" w:rsidP="007E5EE6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A73" w:rsidRPr="007E6A73" w:rsidRDefault="007E6A73" w:rsidP="007E5EE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7E6A73" w:rsidRPr="007E6A73" w:rsidRDefault="007E6A73" w:rsidP="007E5EE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A73" w:rsidRPr="007E6A73" w:rsidRDefault="007E6A73" w:rsidP="007E5EE6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7E6A73" w:rsidRPr="007E6A73" w:rsidRDefault="007E6A73" w:rsidP="007E5EE6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7E6A73" w:rsidRPr="007E6A73" w:rsidTr="007E5EE6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A73" w:rsidRPr="007E6A73" w:rsidRDefault="007E6A73" w:rsidP="008B1A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</w:t>
            </w:r>
            <w:r w:rsidR="008B1A65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22.01.18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7E6A73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8B1A65" w:rsidP="008B1A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y Territorial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73" w:rsidRPr="007E6A73" w:rsidRDefault="007E6A73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7E6A73" w:rsidRPr="008F329D" w:rsidRDefault="008B1A65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2/18, de 16.01, por el que se aprueban </w:t>
            </w:r>
            <w:r w:rsidRPr="008F329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las bases reguladoras y la convocatoria para el año 2018 del Programa de Creación de Empresas Innovadoras.</w:t>
            </w:r>
          </w:p>
          <w:p w:rsidR="007E6A73" w:rsidRDefault="002A6927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3" w:history="1">
              <w:r w:rsidR="00A74284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http://www.bizkaia.eus/lehendakaritza/Bao_bob/2018/01/22/I-65_cas.pdf?hash=05c432703109c02838a22f11d212e294</w:t>
              </w:r>
            </w:hyperlink>
          </w:p>
          <w:p w:rsidR="00A74284" w:rsidRPr="007E6A73" w:rsidRDefault="00A74284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E6A73" w:rsidRPr="007E6A73" w:rsidTr="007E5EE6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A73" w:rsidRPr="007E6A73" w:rsidRDefault="007E6A73" w:rsidP="008F32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</w:t>
            </w:r>
            <w:r w:rsidR="008F329D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22.01.18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7E6A73" w:rsidP="008F32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</w:t>
            </w:r>
            <w:r w:rsidR="008F329D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P.V</w:t>
            </w: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8F329D" w:rsidP="008F32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Gobernanza Pública y Autogobierno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29D" w:rsidRDefault="008F329D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7E6A73" w:rsidRPr="008F329D" w:rsidRDefault="008F329D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12.01.18, por la que se somete a información pública el </w:t>
            </w:r>
            <w:r w:rsidRPr="008F329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Anteproyecto de Ley de Empleo Público Vasco.</w:t>
            </w:r>
          </w:p>
          <w:p w:rsidR="007E6A73" w:rsidRDefault="002A6927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4" w:history="1">
              <w:r w:rsidR="008E0F91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https://www.euskadi.eus/y22-bopv/es/bopv2/datos/2018/01/1800326a.shtml</w:t>
              </w:r>
            </w:hyperlink>
          </w:p>
          <w:p w:rsidR="008E0F91" w:rsidRPr="007E6A73" w:rsidRDefault="008E0F91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E6A73" w:rsidRPr="007E6A73" w:rsidTr="007E5EE6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A73" w:rsidRPr="007E6A73" w:rsidRDefault="007E6A73" w:rsidP="008F32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</w:t>
            </w:r>
            <w:r w:rsidR="008F329D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22.01.18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7E6A73" w:rsidP="008F32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</w:t>
            </w:r>
            <w:r w:rsidR="008F329D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P.V</w:t>
            </w: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8F329D" w:rsidP="008F32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29D" w:rsidRDefault="008F329D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7E6A73" w:rsidRPr="008F329D" w:rsidRDefault="008F329D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 w:rsidRPr="008F329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Corrección de errores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de la Resolución de 28.12.17, por la que se procede a la publicación de la convocatoria para el año 2018 de </w:t>
            </w:r>
            <w:r w:rsidRPr="008F329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destinadas al desarrollo de las actuaciones de Empleo con Apoyo como medida de integración de personas con discapacidad en el mercado ordinario de trabajo.</w:t>
            </w:r>
          </w:p>
          <w:p w:rsidR="007E6A73" w:rsidRDefault="002A6927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5" w:history="1">
              <w:r w:rsidR="008E0F91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https://www.euskadi.eus/y22-bopv/es/bopv2/datos/2018/01/1800328a.shtml</w:t>
              </w:r>
            </w:hyperlink>
          </w:p>
          <w:p w:rsidR="008E0F91" w:rsidRPr="007E6A73" w:rsidRDefault="008E0F91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E6A73" w:rsidRPr="007E6A73" w:rsidTr="007E5EE6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A73" w:rsidRPr="007E6A73" w:rsidRDefault="007E6A73" w:rsidP="008F32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</w:t>
            </w:r>
            <w:r w:rsidR="008F329D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22.01.18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7E6A73" w:rsidP="008F32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</w:t>
            </w:r>
            <w:r w:rsidR="008F329D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P.V</w:t>
            </w:r>
            <w:r w:rsidRPr="007E6A73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8F329D" w:rsidP="008F32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29D" w:rsidRDefault="008F329D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7E6A73" w:rsidRPr="008F329D" w:rsidRDefault="008F329D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 w:rsidRPr="008F329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Corrección de errores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de la Resolución de 28.12.17, por la que se procede a la publicación de la convocatoria, para el año 2018, de </w:t>
            </w:r>
            <w:r w:rsidRPr="008F329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destinadas a la contratación de personas desempleadas mayores de 35 años, en centros de trabajo de empresas vascas situadas en el exterior.</w:t>
            </w:r>
          </w:p>
          <w:p w:rsidR="007E6A73" w:rsidRDefault="002A6927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6" w:history="1">
              <w:r w:rsidR="008E0F91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https://www.euskadi.eus/y22-bopv/es/bopv2/datos/2018/01/1800329a.shtml</w:t>
              </w:r>
            </w:hyperlink>
          </w:p>
          <w:p w:rsidR="008E0F91" w:rsidRPr="007E6A73" w:rsidRDefault="008E0F91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E6A73" w:rsidRPr="007E6A73" w:rsidTr="007E5EE6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A73" w:rsidRPr="007E6A73" w:rsidRDefault="007E6A73" w:rsidP="008F32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</w:t>
            </w:r>
            <w:r w:rsidR="008F329D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23.01.18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7E6A73" w:rsidP="008F32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</w:t>
            </w:r>
            <w:r w:rsidR="008F329D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E</w:t>
            </w: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8F329D" w:rsidP="008F32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73" w:rsidRPr="007E6A73" w:rsidRDefault="007E6A73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7E6A73" w:rsidRPr="008F329D" w:rsidRDefault="008F329D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8.01.18, por la que se aprueban las directrices generales del </w:t>
            </w:r>
            <w:r w:rsidRPr="008F329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Plan Anual de Control Tributario y Aduanero de 2018.</w:t>
            </w:r>
          </w:p>
          <w:p w:rsidR="007E6A73" w:rsidRDefault="002A6927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7" w:history="1">
              <w:r w:rsidR="008E0F91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https://www.boe.es/boe/dias/2018/01/23/pdfs/BOE-A-2018-792.pdf</w:t>
              </w:r>
            </w:hyperlink>
          </w:p>
          <w:p w:rsidR="008E0F91" w:rsidRPr="007E6A73" w:rsidRDefault="008E0F91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E6A73" w:rsidRPr="007E6A73" w:rsidTr="007E5EE6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A73" w:rsidRPr="007E6A73" w:rsidRDefault="007E6A73" w:rsidP="008F32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</w:t>
            </w:r>
            <w:r w:rsidR="008F329D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23.01.18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7E6A73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7E6A73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73" w:rsidRPr="007E6A73" w:rsidRDefault="007E6A73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7E6A73" w:rsidRPr="00587DF7" w:rsidRDefault="008F329D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12.01.18, por la que se modifica la de 29.05.06, por la que </w:t>
            </w:r>
            <w:r w:rsidRPr="00587DF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establecen los supu</w:t>
            </w:r>
            <w:r w:rsidR="00587DF7" w:rsidRPr="00587DF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e</w:t>
            </w:r>
            <w:r w:rsidRPr="00587DF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stos y condiciones en que podrá hacerse efectiva la colaboración social en la aplicación de los tributos, para la solicitud de certificados tributarios.</w:t>
            </w:r>
          </w:p>
          <w:p w:rsidR="007E6A73" w:rsidRDefault="002A6927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8" w:history="1">
              <w:r w:rsidR="008E0F91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https://www.boe.es/boe/dias/2018/01/23/pdfs/BOE-A-2018-793.pdf</w:t>
              </w:r>
            </w:hyperlink>
          </w:p>
          <w:p w:rsidR="008E0F91" w:rsidRPr="007E6A73" w:rsidRDefault="008E0F91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E6A73" w:rsidRPr="007E6A73" w:rsidTr="007E5EE6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A73" w:rsidRPr="007E6A73" w:rsidRDefault="007E6A73" w:rsidP="009F53C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</w:t>
            </w:r>
            <w:r w:rsidR="009F53C2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24.01.18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7E6A73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7E6A73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País Vasco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A73" w:rsidRPr="009F53C2" w:rsidRDefault="009F53C2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Ley 5</w:t>
            </w:r>
            <w:r w:rsidR="007E6A73" w:rsidRPr="007E6A73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/17, de 2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2.12, por la que se aprueban los </w:t>
            </w:r>
            <w:r w:rsidRPr="009F53C2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Presupuestos Generales de la CAE para el ejercicio 2018.</w:t>
            </w:r>
          </w:p>
          <w:p w:rsidR="007E6A73" w:rsidRDefault="002A6927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9" w:history="1">
              <w:r w:rsidR="008E0F91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https://www.boe.es/boe/dias/2018/01/25/pdfs/BOE-A-2018-928.pdf</w:t>
              </w:r>
            </w:hyperlink>
          </w:p>
          <w:p w:rsidR="008E0F91" w:rsidRPr="007E6A73" w:rsidRDefault="008E0F91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E6A73" w:rsidRPr="007E6A73" w:rsidTr="007E5EE6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A73" w:rsidRPr="007E6A73" w:rsidRDefault="007E6A73" w:rsidP="009F53C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</w:t>
            </w:r>
            <w:r w:rsidR="009F53C2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24.01.18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7E6A73" w:rsidP="009F53C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</w:t>
            </w:r>
            <w:r w:rsidR="009F53C2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</w:t>
            </w:r>
            <w:r w:rsidRPr="007E6A7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6A73" w:rsidRPr="007E6A73" w:rsidRDefault="009F53C2" w:rsidP="009F53C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y Territorial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3C2" w:rsidRDefault="009F53C2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7E6A73" w:rsidRPr="009F53C2" w:rsidRDefault="009F53C2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161/17, de 19.12, por el que </w:t>
            </w:r>
            <w:r w:rsidRPr="009F53C2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aprueban las bases reguladoras y primera convocatoria del Programa 3i de Apoyo Integral a la Innovación, la Internacionalización y la Inversión 2018 (Corrección de errores).</w:t>
            </w:r>
          </w:p>
          <w:p w:rsidR="007E6A73" w:rsidRDefault="002A6927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0" w:history="1">
              <w:r w:rsidR="00A74284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http://www.bizkaia.eus/lehendakaritza/Bao_bob/2018/01/24/I-73_cas.pdf?hash=d4837d82e15fe459bda2a9da0024861b</w:t>
              </w:r>
            </w:hyperlink>
          </w:p>
          <w:p w:rsidR="00A74284" w:rsidRPr="007E6A73" w:rsidRDefault="00A74284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7E6A73" w:rsidRPr="007E6A73" w:rsidTr="007E5EE6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6A73" w:rsidRPr="007E6A73" w:rsidRDefault="007E6A73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A73" w:rsidRPr="007E6A73" w:rsidRDefault="007E6A73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A73" w:rsidRPr="007E6A73" w:rsidRDefault="007E6A73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A73" w:rsidRPr="007E6A73" w:rsidRDefault="007E6A73" w:rsidP="007E5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6A4A79" w:rsidRDefault="006A4A79"/>
    <w:p w:rsidR="00A74284" w:rsidRDefault="00A74284"/>
    <w:p w:rsidR="00A74284" w:rsidRDefault="00A74284"/>
    <w:p w:rsidR="00A74284" w:rsidRDefault="00A74284"/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10347"/>
      </w:tblGrid>
      <w:tr w:rsidR="006A4A79" w:rsidRPr="00723F7C" w:rsidTr="00E73AB2">
        <w:tc>
          <w:tcPr>
            <w:tcW w:w="14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A79" w:rsidRPr="00723F7C" w:rsidRDefault="006A4A79" w:rsidP="00E73AB2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6A4A79" w:rsidRPr="00723F7C" w:rsidRDefault="006A4A79" w:rsidP="00E73AB2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723F7C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6A4A79" w:rsidRPr="00723F7C" w:rsidRDefault="006A4A79" w:rsidP="00E73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6A4A79" w:rsidRPr="00723F7C" w:rsidRDefault="006A4A79" w:rsidP="00E73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6A4A79" w:rsidRPr="00723F7C" w:rsidTr="00E73AB2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A79" w:rsidRPr="00723F7C" w:rsidRDefault="006A4A79" w:rsidP="00E73AB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6A4A79" w:rsidRPr="00723F7C" w:rsidRDefault="006A4A79" w:rsidP="00E73AB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23F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6A4A79" w:rsidRPr="00723F7C" w:rsidRDefault="006A4A79" w:rsidP="00E73AB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A79" w:rsidRPr="00723F7C" w:rsidRDefault="006A4A79" w:rsidP="00E73AB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6A4A79" w:rsidRPr="00723F7C" w:rsidRDefault="006A4A79" w:rsidP="00E73AB2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23F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A79" w:rsidRPr="00723F7C" w:rsidRDefault="006A4A79" w:rsidP="00E73AB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6A4A79" w:rsidRPr="00723F7C" w:rsidRDefault="006A4A79" w:rsidP="00E73AB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23F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A79" w:rsidRPr="00723F7C" w:rsidRDefault="006A4A79" w:rsidP="00E73AB2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6A4A79" w:rsidRPr="00723F7C" w:rsidRDefault="006A4A79" w:rsidP="00E73AB2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723F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6A4A79" w:rsidRPr="00723F7C" w:rsidTr="00E73AB2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A79" w:rsidRPr="00723F7C" w:rsidRDefault="006A4A79" w:rsidP="006A4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26.01.18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723F7C" w:rsidRDefault="006A4A79" w:rsidP="006A4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723F7C" w:rsidRDefault="006A4A79" w:rsidP="006A4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Admón. Pública y Relac. Institucionales</w:t>
            </w: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A79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6A4A79" w:rsidRPr="006A4A79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5/18, de 16.01, por el que se regula el </w:t>
            </w:r>
            <w:r w:rsidRPr="006A4A7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Programa Elkartegiak 2018.</w:t>
            </w:r>
          </w:p>
          <w:p w:rsidR="006A4A79" w:rsidRDefault="002A6927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1" w:history="1">
              <w:r w:rsidR="00A74284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http://www.bizkaia.eus/lehendakaritza/Bao_bob/2018/01/26/I-68_cas.pdf?hash=7a637a1d85da100cdf925c3f40d2b21b</w:t>
              </w:r>
            </w:hyperlink>
          </w:p>
          <w:p w:rsidR="00A74284" w:rsidRPr="00723F7C" w:rsidRDefault="00A74284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A4A79" w:rsidRPr="00723F7C" w:rsidTr="00E73AB2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A79" w:rsidRPr="00723F7C" w:rsidRDefault="006A4A79" w:rsidP="006A4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26.01.18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723F7C" w:rsidRDefault="006A4A79" w:rsidP="006A4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723F7C" w:rsidRDefault="006A4A79" w:rsidP="006A4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y Territorial</w:t>
            </w: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A79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6A4A79" w:rsidRPr="006A4A79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3/18, de 16.01, por el que se aprueban </w:t>
            </w:r>
            <w:r w:rsidRPr="006A4A7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 xml:space="preserve">las bases reguladoras y la convocatoria para el año 2018 del Programa Bizkaia Creativa. </w:t>
            </w:r>
          </w:p>
          <w:p w:rsidR="006A4A79" w:rsidRDefault="002A6927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2" w:history="1">
              <w:r w:rsidR="00A74284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http://www.bizkaia.eus/lehendakaritza/Bao_bob/2018/01/26/I-71_cas.pdf?hash=f57c344d65bbd054f1b46e7f8e1d0933</w:t>
              </w:r>
            </w:hyperlink>
          </w:p>
          <w:p w:rsidR="00A74284" w:rsidRPr="00723F7C" w:rsidRDefault="00A74284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A4A79" w:rsidRPr="00723F7C" w:rsidTr="00E73AB2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A79" w:rsidRPr="00723F7C" w:rsidRDefault="006A4A79" w:rsidP="00BE1E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23F7C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26.01.1</w:t>
            </w:r>
            <w:r w:rsidR="00BE1E8D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723F7C" w:rsidRDefault="006A4A79" w:rsidP="006A4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723F7C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</w:t>
            </w:r>
            <w:r w:rsidRPr="00723F7C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723F7C" w:rsidRDefault="006A4A79" w:rsidP="006A4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723F7C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Desarrollo Económico 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y Territorial</w:t>
            </w: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A79" w:rsidRPr="00723F7C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6A4A79" w:rsidRPr="006A4A79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4/18, de 16.01, por el que se aprueban las </w:t>
            </w:r>
            <w:r w:rsidRPr="006A4A7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 xml:space="preserve">bases reguladoras y la convocatoria para el año 2018 del Programa de Emprendimiento e Innovación Social. </w:t>
            </w:r>
          </w:p>
          <w:p w:rsidR="006A4A79" w:rsidRDefault="002A6927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3" w:history="1">
              <w:r w:rsidR="00A74284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http://www.bizkaia.eus/lehendakaritza/Bao_bob/2018/01/26/I-72_cas.pdf?hash=8755f8f065251c701c22f8e80788895d</w:t>
              </w:r>
            </w:hyperlink>
          </w:p>
          <w:p w:rsidR="00A74284" w:rsidRPr="00723F7C" w:rsidRDefault="00A74284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A4A79" w:rsidRPr="00723F7C" w:rsidTr="00E73AB2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A79" w:rsidRPr="00723F7C" w:rsidRDefault="006A4A79" w:rsidP="006A4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26.01.18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723F7C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723F7C" w:rsidRDefault="006A4A79" w:rsidP="006A4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Trabajo y Seg. Soc.</w:t>
            </w: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A79" w:rsidRPr="006A4A79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18.01.18, para la </w:t>
            </w:r>
            <w:r w:rsidRPr="006A4A7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tramitación de la habilitación del Libro de Subcontratación.</w:t>
            </w:r>
          </w:p>
          <w:p w:rsidR="006A4A79" w:rsidRDefault="002A6927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4" w:history="1">
              <w:r w:rsidR="008E0F91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https://www.euskadi.eus/y22-bopv/es/bopv2/datos/2018/01/1800457a.shtml</w:t>
              </w:r>
            </w:hyperlink>
          </w:p>
          <w:p w:rsidR="008E0F91" w:rsidRPr="00723F7C" w:rsidRDefault="008E0F91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A4A79" w:rsidRPr="00F74628" w:rsidTr="00E73AB2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A79" w:rsidRPr="00F74628" w:rsidRDefault="006A4A79" w:rsidP="006A4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26.01.18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6A4A79" w:rsidP="006A4A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F74628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P.V</w:t>
            </w:r>
            <w:r w:rsidRPr="00F74628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8E0F91" w:rsidP="008E0F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</w:t>
            </w:r>
            <w:r w:rsidR="006A4A79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o e Infraestructuras</w:t>
            </w: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A79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6A4A79" w:rsidRPr="006A4A79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19.01.18, por la que se amplía el plazo de presentación de las solicitudes de </w:t>
            </w:r>
            <w:r w:rsidRPr="006A4A79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ayudas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previstas en la Orden de 27.12.27, por la que se convocan para el año 2018, las </w:t>
            </w:r>
            <w:r w:rsidRPr="006A4A7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a los regímenes de calidad de los productos agrícolas y alimentarios.</w:t>
            </w:r>
          </w:p>
          <w:p w:rsidR="006A4A79" w:rsidRDefault="002A6927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5" w:history="1">
              <w:r w:rsidR="008E0F91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https://www.euskadi.eus/y22-bopv/es/bopv2/datos/2018/01/1800448a.shtml</w:t>
              </w:r>
            </w:hyperlink>
          </w:p>
          <w:p w:rsidR="008E0F91" w:rsidRPr="00F74628" w:rsidRDefault="008E0F91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A4A79" w:rsidRPr="00F74628" w:rsidTr="00E73AB2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A79" w:rsidRPr="00F74628" w:rsidRDefault="006A4A79" w:rsidP="006A19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F74628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</w:t>
            </w:r>
            <w:r w:rsidR="006A195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29.01.18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F74628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</w:t>
            </w:r>
            <w:r w:rsidRPr="00F74628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6A1953" w:rsidP="006A19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Empleo, Inclusión Social e Igualdad</w:t>
            </w: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A79" w:rsidRPr="00F74628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6A4A79" w:rsidRPr="006A1953" w:rsidRDefault="006A1953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Foral 715/18, de 17.01, por la que </w:t>
            </w:r>
            <w:r w:rsidRPr="006A195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establece el procedimiento para cumplimentar la obligación de informar sobre la ejecución de actividades declaradas prioritarias en el ejercicio 2018.</w:t>
            </w:r>
          </w:p>
          <w:p w:rsidR="006A4A79" w:rsidRDefault="002A6927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6" w:history="1">
              <w:r w:rsidR="00A74284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http://www.bizkaia.eus/lehendakaritza/Bao_bob/2018/01/29/I-82_cas.pdf?hash=50c8b038a71647bda63c6b5f57050846</w:t>
              </w:r>
            </w:hyperlink>
          </w:p>
          <w:p w:rsidR="00A74284" w:rsidRPr="00F74628" w:rsidRDefault="00A74284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A4A79" w:rsidRPr="00F74628" w:rsidTr="00E73AB2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A79" w:rsidRPr="00F74628" w:rsidRDefault="006A4A79" w:rsidP="006A19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</w:t>
            </w:r>
            <w:r w:rsidR="006A195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29.01.18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6A1953" w:rsidP="006A19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Euskera y Cultura</w:t>
            </w: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A79" w:rsidRPr="006A1953" w:rsidRDefault="006A1953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Foral 229/18, de 16.01, por la que </w:t>
            </w:r>
            <w:r w:rsidRPr="006A195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establece el procedimiento para cumplimentar la obligación de informar sobre la ejecución de actividades declaradas prioritarias en el ejercicio 2018.</w:t>
            </w:r>
          </w:p>
          <w:p w:rsidR="006A4A79" w:rsidRDefault="002A6927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7" w:history="1">
              <w:r w:rsidR="00A74284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http://www.bizkaia.eus/lehendakaritza/Bao_bob/2018/01/29/I-80_cas.pdf?hash=6eda6160c9f294005d893aae32daed36</w:t>
              </w:r>
            </w:hyperlink>
          </w:p>
          <w:p w:rsidR="00A74284" w:rsidRPr="00F74628" w:rsidRDefault="00A74284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A4A79" w:rsidRPr="00F74628" w:rsidTr="00E73AB2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4A79" w:rsidRPr="00F74628" w:rsidRDefault="006A4A79" w:rsidP="002A44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</w:t>
            </w:r>
            <w:r w:rsidR="002A446A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29.01.18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A79" w:rsidRPr="00F74628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A79" w:rsidRPr="00F74628" w:rsidRDefault="002A446A" w:rsidP="002A44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A79" w:rsidRPr="002A446A" w:rsidRDefault="002A446A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1/18, de 16.01, por el que </w:t>
            </w:r>
            <w:r w:rsidRPr="002A446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declaran prioritarias determinadas actividades para el ejercicio 2018.</w:t>
            </w:r>
          </w:p>
          <w:p w:rsidR="006A4A79" w:rsidRDefault="002A6927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8" w:history="1">
              <w:r w:rsidR="00A74284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http://www.bizkaia.eus/lehendakaritza/Bao_bob/2018/01/29/I-81_cas.pdf?hash=60440ed418d474ff0bce10b832229b83</w:t>
              </w:r>
            </w:hyperlink>
          </w:p>
          <w:p w:rsidR="00A74284" w:rsidRDefault="00A74284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6A4A79" w:rsidRPr="00F74628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6A4A79" w:rsidRPr="00723F7C" w:rsidRDefault="006A4A79" w:rsidP="006A4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A4A79" w:rsidRDefault="006A4A79" w:rsidP="006A4A79"/>
    <w:p w:rsidR="006A4A79" w:rsidRDefault="006A4A79" w:rsidP="006A4A79"/>
    <w:p w:rsidR="00A74284" w:rsidRDefault="00A74284" w:rsidP="006A4A79"/>
    <w:p w:rsidR="006A4A79" w:rsidRDefault="006A4A79" w:rsidP="006A4A79"/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10347"/>
      </w:tblGrid>
      <w:tr w:rsidR="006A4A79" w:rsidRPr="00F74628" w:rsidTr="00E73AB2">
        <w:tc>
          <w:tcPr>
            <w:tcW w:w="14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A79" w:rsidRPr="00F74628" w:rsidRDefault="006A4A79" w:rsidP="00E7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6A4A79" w:rsidRPr="00F74628" w:rsidRDefault="006A4A79" w:rsidP="00E73AB2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6A4A79" w:rsidRPr="00F74628" w:rsidRDefault="006A4A79" w:rsidP="00E73AB2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6A4A79" w:rsidRPr="00F74628" w:rsidRDefault="006A4A79" w:rsidP="00E73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6A4A79" w:rsidRPr="00F74628" w:rsidRDefault="006A4A79" w:rsidP="00E73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6A4A79" w:rsidRPr="00F74628" w:rsidTr="00E73AB2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A79" w:rsidRPr="00F74628" w:rsidRDefault="006A4A79" w:rsidP="00E73AB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6A4A79" w:rsidRPr="00F74628" w:rsidRDefault="006A4A79" w:rsidP="00E73AB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6A4A79" w:rsidRPr="00F74628" w:rsidRDefault="006A4A79" w:rsidP="00E73AB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A79" w:rsidRPr="00F74628" w:rsidRDefault="006A4A79" w:rsidP="00E73AB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6A4A79" w:rsidRPr="00F74628" w:rsidRDefault="006A4A79" w:rsidP="00E73AB2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A79" w:rsidRPr="00F74628" w:rsidRDefault="006A4A79" w:rsidP="00E73AB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6A4A79" w:rsidRPr="00F74628" w:rsidRDefault="006A4A79" w:rsidP="00E73AB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A79" w:rsidRPr="00F74628" w:rsidRDefault="006A4A79" w:rsidP="00E73AB2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6A4A79" w:rsidRPr="00F74628" w:rsidRDefault="006A4A79" w:rsidP="00E73AB2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6A4A79" w:rsidRPr="00F74628" w:rsidTr="00E73AB2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A79" w:rsidRPr="00F74628" w:rsidRDefault="006A4A79" w:rsidP="002A44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</w:t>
            </w:r>
            <w:r w:rsidR="002A446A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29.01.18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6A4A79" w:rsidP="002A44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</w:t>
            </w:r>
            <w:r w:rsidR="002A446A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2A446A" w:rsidP="002A44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Seg. Soc.</w:t>
            </w: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A79" w:rsidRPr="002A446A" w:rsidRDefault="002A446A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ESS/55/18, de 26.01, por la que </w:t>
            </w:r>
            <w:r w:rsidRPr="002A446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desarrollan las normas legales de cotización a la Seguridad Social, Desempleo, protección por cese de actividad, Fondo de Garantía Salarial y Formación Profesional para el ejercicio 2018.</w:t>
            </w:r>
          </w:p>
          <w:p w:rsidR="006A4A79" w:rsidRDefault="002A6927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9" w:history="1">
              <w:r w:rsidR="008E0F91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https://www.boe.es/boe/dias/2018/01/29/pdfs/BOE-A-2018-1142.pdf</w:t>
              </w:r>
            </w:hyperlink>
          </w:p>
          <w:p w:rsidR="008E0F91" w:rsidRPr="00F74628" w:rsidRDefault="008E0F91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A4A79" w:rsidRPr="00F74628" w:rsidTr="00E73AB2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A79" w:rsidRPr="00F74628" w:rsidRDefault="006A4A79" w:rsidP="002A44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F74628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 </w:t>
            </w:r>
            <w:r w:rsidR="002A446A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29.01.18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6A4A79" w:rsidP="002A44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F74628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B.</w:t>
            </w:r>
            <w:r w:rsidR="002A446A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O.E</w:t>
            </w:r>
            <w:r w:rsidRPr="00F74628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2A446A" w:rsidP="002A446A">
            <w:pPr>
              <w:spacing w:after="0" w:line="240" w:lineRule="auto"/>
              <w:ind w:right="72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Seg. Soc.</w:t>
            </w: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A79" w:rsidRPr="002A446A" w:rsidRDefault="002A446A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ESS/56/18, de 26.01, por la </w:t>
            </w:r>
            <w:r w:rsidRPr="002A446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que se establecen para el año 2018 las bases de cotización a la Seguridad Social de los trabajadores del Régimen Especial del Mar incluidos en los grupos 2 y 3.</w:t>
            </w:r>
          </w:p>
          <w:p w:rsidR="006A4A79" w:rsidRDefault="002A6927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0" w:history="1">
              <w:r w:rsidR="008E0F91" w:rsidRPr="006E580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https://www.boe.es/boe/dias/2018/01/29/pdfs/BOE-A-2018-1143.pdf</w:t>
              </w:r>
            </w:hyperlink>
          </w:p>
          <w:p w:rsidR="008E0F91" w:rsidRPr="00F74628" w:rsidRDefault="008E0F91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A4A79" w:rsidRPr="00F74628" w:rsidTr="00E73AB2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A79" w:rsidRPr="00F74628" w:rsidRDefault="00A969E3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30.01.18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A969E3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A969E3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y Territorial</w:t>
            </w: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A79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A969E3" w:rsidRDefault="00A969E3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5/18, de 16.01, por el que se regula el </w:t>
            </w:r>
            <w:r w:rsidRPr="00A969E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Programa Elkartegiak 2018. Corrección de errores.</w:t>
            </w:r>
          </w:p>
          <w:p w:rsidR="00A969E3" w:rsidRDefault="002A6927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1" w:history="1">
              <w:r w:rsidR="00A969E3" w:rsidRPr="0077457A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http://www.bizkaia.eus/lehendakaritza/Bao_bob/2018/01/30/I-113_cas.pdf?hash=872f7be2ad7a2b5f1ac66119b5ca40db</w:t>
              </w:r>
            </w:hyperlink>
          </w:p>
          <w:p w:rsidR="00A969E3" w:rsidRPr="00F74628" w:rsidRDefault="00A969E3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A4A79" w:rsidRPr="00F74628" w:rsidTr="00E73AB2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A79" w:rsidRPr="00F74628" w:rsidRDefault="008E529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31.01.18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8E529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8E529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Osakidetza</w:t>
            </w: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A79" w:rsidRPr="008E5292" w:rsidRDefault="008E529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Acuerdo de 25.01.18, por el que se aprueban diversos criterios sobre inclusión de plazas y desarrollo del proceso selectivo, correspondiente a la </w:t>
            </w:r>
            <w:r w:rsidRPr="008E5292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oferta pública de empleo 2016-2017 de Osakidetza.</w:t>
            </w:r>
          </w:p>
          <w:p w:rsidR="008E5292" w:rsidRDefault="000171A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2" w:history="1">
              <w:r w:rsidRPr="00443C38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https://www.euskadi.eus/y22-bopv/es/bopv2/datos/2018/01/1800551a.shtml</w:t>
              </w:r>
            </w:hyperlink>
          </w:p>
          <w:p w:rsidR="000171A2" w:rsidRPr="00F74628" w:rsidRDefault="000171A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A4A79" w:rsidRPr="00F74628" w:rsidTr="00E73AB2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A79" w:rsidRPr="00F74628" w:rsidRDefault="008E529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31.01.18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8E529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4A79" w:rsidRPr="00F74628" w:rsidRDefault="008E529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e Infraestructuras</w:t>
            </w: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A79" w:rsidRDefault="006A4A79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8E5292" w:rsidRDefault="008E529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24.01.18, por la que se convocan, para el año 2018, las ayudas a las acciones y los programas de información y promoción en terceros países de productos vinícolas, y las </w:t>
            </w:r>
            <w:r w:rsidRPr="008E5292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a la inversión del programa de apoyo al sector vitivinícola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.</w:t>
            </w:r>
          </w:p>
          <w:p w:rsidR="008E5292" w:rsidRDefault="000171A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3" w:history="1">
              <w:r w:rsidRPr="00443C38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https://www.euskadi.eus/y22-bopv/es/bopv2/datos/2018/01/1800555a.shtml</w:t>
              </w:r>
            </w:hyperlink>
          </w:p>
          <w:p w:rsidR="000171A2" w:rsidRPr="00F74628" w:rsidRDefault="000171A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6A4A79" w:rsidRPr="00F74628" w:rsidTr="00E73AB2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4A79" w:rsidRPr="00F74628" w:rsidRDefault="008E529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31.01.18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A79" w:rsidRPr="00F74628" w:rsidRDefault="008E529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A79" w:rsidRPr="00F74628" w:rsidRDefault="008E529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Seg. Soc.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A79" w:rsidRDefault="000171A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0171A2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Corrección de errores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del Real Decreto 1077/17, de 29.12, por el que se fija el </w:t>
            </w:r>
            <w:r w:rsidRPr="000171A2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salario mínimo interprofesional para 2018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.</w:t>
            </w:r>
          </w:p>
          <w:p w:rsidR="000171A2" w:rsidRDefault="000171A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4" w:history="1">
              <w:r w:rsidRPr="00443C38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https://www.boe.es/boe/dias/2018/01/31/pdfs/BOE-A-2018-1276.pdf</w:t>
              </w:r>
            </w:hyperlink>
          </w:p>
          <w:p w:rsidR="000171A2" w:rsidRPr="00F74628" w:rsidRDefault="000171A2" w:rsidP="00E73AB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6A4A79" w:rsidRDefault="006A4A79"/>
    <w:sectPr w:rsidR="006A4A79" w:rsidSect="001C5392">
      <w:pgSz w:w="16838" w:h="11906" w:orient="landscape"/>
      <w:pgMar w:top="28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EC"/>
    <w:rsid w:val="000171A2"/>
    <w:rsid w:val="0019707D"/>
    <w:rsid w:val="001C5392"/>
    <w:rsid w:val="002A446A"/>
    <w:rsid w:val="002A6927"/>
    <w:rsid w:val="00587DF7"/>
    <w:rsid w:val="005A530F"/>
    <w:rsid w:val="006A1953"/>
    <w:rsid w:val="006A4A79"/>
    <w:rsid w:val="00743474"/>
    <w:rsid w:val="007E6A73"/>
    <w:rsid w:val="00896226"/>
    <w:rsid w:val="008B1A65"/>
    <w:rsid w:val="008B1FEC"/>
    <w:rsid w:val="008E0F91"/>
    <w:rsid w:val="008E5292"/>
    <w:rsid w:val="008F329D"/>
    <w:rsid w:val="009F53C2"/>
    <w:rsid w:val="00A74284"/>
    <w:rsid w:val="00A969E3"/>
    <w:rsid w:val="00BE1E8D"/>
    <w:rsid w:val="00D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E6A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7E6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A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A4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E6A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7E6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A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A4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kaia.eus/lehendakaritza/Bao_bob/2018/01/16/I-58_cas.pdf?hash=d8357fd38db05ba011db7cfd6f314de2" TargetMode="External"/><Relationship Id="rId13" Type="http://schemas.openxmlformats.org/officeDocument/2006/relationships/hyperlink" Target="http://www.bizkaia.eus/lehendakaritza/Bao_bob/2018/01/22/I-65_cas.pdf?hash=05c432703109c02838a22f11d212e294" TargetMode="External"/><Relationship Id="rId18" Type="http://schemas.openxmlformats.org/officeDocument/2006/relationships/hyperlink" Target="https://www.boe.es/boe/dias/2018/01/23/pdfs/BOE-A-2018-793.pdf" TargetMode="External"/><Relationship Id="rId26" Type="http://schemas.openxmlformats.org/officeDocument/2006/relationships/hyperlink" Target="http://www.bizkaia.eus/lehendakaritza/Bao_bob/2018/01/29/I-82_cas.pdf?hash=50c8b038a71647bda63c6b5f5705084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zkaia.eus/lehendakaritza/Bao_bob/2018/01/26/I-68_cas.pdf?hash=7a637a1d85da100cdf925c3f40d2b21b" TargetMode="External"/><Relationship Id="rId34" Type="http://schemas.openxmlformats.org/officeDocument/2006/relationships/hyperlink" Target="https://www.boe.es/boe/dias/2018/01/31/pdfs/BOE-A-2018-1276.pdf" TargetMode="External"/><Relationship Id="rId7" Type="http://schemas.openxmlformats.org/officeDocument/2006/relationships/image" Target="http://www.graduadosocialbizkaia.com/images/inicio_02.gif" TargetMode="External"/><Relationship Id="rId12" Type="http://schemas.openxmlformats.org/officeDocument/2006/relationships/hyperlink" Target="http://www.bizkaia.eus/lehendakaritza/Bao_bob/2018/01/19/I-47_cas.pdf?hash=6f15d46b61c1b89f30e7a06d2d7a2b15" TargetMode="External"/><Relationship Id="rId17" Type="http://schemas.openxmlformats.org/officeDocument/2006/relationships/hyperlink" Target="https://www.boe.es/boe/dias/2018/01/23/pdfs/BOE-A-2018-792.pdf" TargetMode="External"/><Relationship Id="rId25" Type="http://schemas.openxmlformats.org/officeDocument/2006/relationships/hyperlink" Target="https://www.euskadi.eus/y22-bopv/es/bopv2/datos/2018/01/1800448a.shtml" TargetMode="External"/><Relationship Id="rId33" Type="http://schemas.openxmlformats.org/officeDocument/2006/relationships/hyperlink" Target="https://www.euskadi.eus/y22-bopv/es/bopv2/datos/2018/01/1800555a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skadi.eus/y22-bopv/es/bopv2/datos/2018/01/1800329a.shtml" TargetMode="External"/><Relationship Id="rId20" Type="http://schemas.openxmlformats.org/officeDocument/2006/relationships/hyperlink" Target="http://www.bizkaia.eus/lehendakaritza/Bao_bob/2018/01/24/I-73_cas.pdf?hash=d4837d82e15fe459bda2a9da0024861b" TargetMode="External"/><Relationship Id="rId29" Type="http://schemas.openxmlformats.org/officeDocument/2006/relationships/hyperlink" Target="https://www.boe.es/boe/dias/2018/01/29/pdfs/BOE-A-2018-1142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izkaia.eus/lehendakaritza/Bao_bob/2018/01/18/I-23_cas.pdf?hash=d20b76c7392e44bbbb6eda10ca6a2172" TargetMode="External"/><Relationship Id="rId24" Type="http://schemas.openxmlformats.org/officeDocument/2006/relationships/hyperlink" Target="https://www.euskadi.eus/y22-bopv/es/bopv2/datos/2018/01/1800457a.shtml" TargetMode="External"/><Relationship Id="rId32" Type="http://schemas.openxmlformats.org/officeDocument/2006/relationships/hyperlink" Target="https://www.euskadi.eus/y22-bopv/es/bopv2/datos/2018/01/1800551a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skadi.eus/y22-bopv/es/bopv2/datos/2018/01/1800328a.shtml" TargetMode="External"/><Relationship Id="rId23" Type="http://schemas.openxmlformats.org/officeDocument/2006/relationships/hyperlink" Target="http://www.bizkaia.eus/lehendakaritza/Bao_bob/2018/01/26/I-72_cas.pdf?hash=8755f8f065251c701c22f8e80788895d" TargetMode="External"/><Relationship Id="rId28" Type="http://schemas.openxmlformats.org/officeDocument/2006/relationships/hyperlink" Target="http://www.bizkaia.eus/lehendakaritza/Bao_bob/2018/01/29/I-81_cas.pdf?hash=60440ed418d474ff0bce10b832229b8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oe.es/boe/dias/2018/01/18/pdfs/BOE-A-2018-664.pdf" TargetMode="External"/><Relationship Id="rId19" Type="http://schemas.openxmlformats.org/officeDocument/2006/relationships/hyperlink" Target="https://www.boe.es/boe/dias/2018/01/25/pdfs/BOE-A-2018-928.pdf" TargetMode="External"/><Relationship Id="rId31" Type="http://schemas.openxmlformats.org/officeDocument/2006/relationships/hyperlink" Target="http://www.bizkaia.eus/lehendakaritza/Bao_bob/2018/01/30/I-113_cas.pdf?hash=872f7be2ad7a2b5f1ac66119b5ca40d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kaia.eus/lehendakaritza/Bao_bob/2018/01/17/I-21_cas.pdf?hash=157b926e1fffbc5faac09ebf00b80dfa" TargetMode="External"/><Relationship Id="rId14" Type="http://schemas.openxmlformats.org/officeDocument/2006/relationships/hyperlink" Target="https://www.euskadi.eus/y22-bopv/es/bopv2/datos/2018/01/1800326a.shtml" TargetMode="External"/><Relationship Id="rId22" Type="http://schemas.openxmlformats.org/officeDocument/2006/relationships/hyperlink" Target="http://www.bizkaia.eus/lehendakaritza/Bao_bob/2018/01/26/I-71_cas.pdf?hash=f57c344d65bbd054f1b46e7f8e1d0933" TargetMode="External"/><Relationship Id="rId27" Type="http://schemas.openxmlformats.org/officeDocument/2006/relationships/hyperlink" Target="http://www.bizkaia.eus/lehendakaritza/Bao_bob/2018/01/29/I-80_cas.pdf?hash=6eda6160c9f294005d893aae32daed36" TargetMode="External"/><Relationship Id="rId30" Type="http://schemas.openxmlformats.org/officeDocument/2006/relationships/hyperlink" Target="https://www.boe.es/boe/dias/2018/01/29/pdfs/BOE-A-2018-1143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2274-43B7-40A5-BA3C-7E5ADEA0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1975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15</cp:revision>
  <dcterms:created xsi:type="dcterms:W3CDTF">2018-01-25T11:34:00Z</dcterms:created>
  <dcterms:modified xsi:type="dcterms:W3CDTF">2018-01-31T10:47:00Z</dcterms:modified>
</cp:coreProperties>
</file>