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50" w:type="dxa"/>
        <w:shd w:val="clear" w:color="auto" w:fill="FFFFFF"/>
        <w:tblCellMar>
          <w:left w:w="0" w:type="dxa"/>
          <w:right w:w="0" w:type="dxa"/>
        </w:tblCellMar>
        <w:tblLook w:val="04A0"/>
      </w:tblPr>
      <w:tblGrid>
        <w:gridCol w:w="5475"/>
        <w:gridCol w:w="5475"/>
      </w:tblGrid>
      <w:tr w:rsidR="00D45ABE" w:rsidRPr="00D45ABE" w:rsidTr="00D45ABE">
        <w:trPr>
          <w:trHeight w:val="183"/>
        </w:trPr>
        <w:tc>
          <w:tcPr>
            <w:tcW w:w="10950" w:type="dxa"/>
            <w:gridSpan w:val="2"/>
            <w:tcBorders>
              <w:top w:val="threeDEngrave" w:sz="24" w:space="0" w:color="000000"/>
              <w:left w:val="threeDEngrave" w:sz="24" w:space="0" w:color="000000"/>
              <w:bottom w:val="threeDEngrave" w:sz="24" w:space="0" w:color="000000"/>
              <w:right w:val="threeDEngrave" w:sz="24" w:space="0" w:color="000000"/>
            </w:tcBorders>
            <w:shd w:val="clear" w:color="auto" w:fill="A6A6A6"/>
            <w:tcMar>
              <w:top w:w="0" w:type="dxa"/>
              <w:left w:w="108" w:type="dxa"/>
              <w:bottom w:w="0" w:type="dxa"/>
              <w:right w:w="108" w:type="dxa"/>
            </w:tcMar>
            <w:vAlign w:val="center"/>
            <w:hideMark/>
          </w:tcPr>
          <w:p w:rsidR="00D45ABE" w:rsidRPr="00D45ABE" w:rsidRDefault="00D45ABE" w:rsidP="00D45ABE">
            <w:pPr>
              <w:spacing w:after="120" w:line="183" w:lineRule="atLeast"/>
              <w:ind w:left="86"/>
              <w:jc w:val="center"/>
              <w:rPr>
                <w:rFonts w:ascii="Times New Roman" w:eastAsia="Times New Roman" w:hAnsi="Times New Roman" w:cs="Times New Roman"/>
                <w:color w:val="222222"/>
                <w:sz w:val="24"/>
                <w:szCs w:val="24"/>
                <w:lang w:eastAsia="es-ES"/>
              </w:rPr>
            </w:pPr>
            <w:r w:rsidRPr="00D45ABE">
              <w:rPr>
                <w:rFonts w:ascii="Arial" w:eastAsia="Times New Roman" w:hAnsi="Arial" w:cs="Arial"/>
                <w:b/>
                <w:bCs/>
                <w:color w:val="222222"/>
                <w:sz w:val="28"/>
                <w:szCs w:val="28"/>
                <w:lang w:eastAsia="es-ES"/>
              </w:rPr>
              <w:t>ONSEJO GENERAL DE COLEGIOS OFICIALES DE GRADUADOS SOCIALES DE ESPAÑA</w:t>
            </w:r>
          </w:p>
        </w:tc>
      </w:tr>
      <w:tr w:rsidR="00D45ABE" w:rsidRPr="00D45ABE" w:rsidTr="00D45ABE">
        <w:trPr>
          <w:trHeight w:val="183"/>
        </w:trPr>
        <w:tc>
          <w:tcPr>
            <w:tcW w:w="10950" w:type="dxa"/>
            <w:gridSpan w:val="2"/>
            <w:tcBorders>
              <w:top w:val="nil"/>
              <w:left w:val="threeDEngrave" w:sz="24" w:space="0" w:color="000000"/>
              <w:bottom w:val="threeDEngrave" w:sz="24" w:space="0" w:color="000000"/>
              <w:right w:val="threeDEngrave" w:sz="24" w:space="0" w:color="000000"/>
            </w:tcBorders>
            <w:shd w:val="clear" w:color="auto" w:fill="FFFFFF"/>
            <w:tcMar>
              <w:top w:w="0" w:type="dxa"/>
              <w:left w:w="108" w:type="dxa"/>
              <w:bottom w:w="0" w:type="dxa"/>
              <w:right w:w="108" w:type="dxa"/>
            </w:tcMar>
            <w:vAlign w:val="center"/>
            <w:hideMark/>
          </w:tcPr>
          <w:p w:rsidR="00D45ABE" w:rsidRPr="00D45ABE" w:rsidRDefault="00D45ABE" w:rsidP="00D45ABE">
            <w:pPr>
              <w:spacing w:after="120" w:line="240" w:lineRule="auto"/>
              <w:ind w:left="86"/>
              <w:jc w:val="center"/>
              <w:rPr>
                <w:rFonts w:ascii="Times New Roman" w:eastAsia="Times New Roman" w:hAnsi="Times New Roman" w:cs="Times New Roman"/>
                <w:color w:val="222222"/>
                <w:sz w:val="24"/>
                <w:szCs w:val="24"/>
                <w:lang w:eastAsia="es-ES"/>
              </w:rPr>
            </w:pPr>
            <w:r w:rsidRPr="00D45ABE">
              <w:rPr>
                <w:rFonts w:ascii="Arial" w:eastAsia="Times New Roman" w:hAnsi="Arial" w:cs="Arial"/>
                <w:b/>
                <w:bCs/>
                <w:color w:val="222222"/>
                <w:sz w:val="28"/>
                <w:szCs w:val="28"/>
                <w:lang w:eastAsia="es-ES"/>
              </w:rPr>
              <w:t>SENTENCIA DE LA SEMANA</w:t>
            </w:r>
          </w:p>
          <w:p w:rsidR="00D45ABE" w:rsidRPr="00D45ABE" w:rsidRDefault="00D45ABE" w:rsidP="00D45ABE">
            <w:pPr>
              <w:spacing w:after="120" w:line="240" w:lineRule="auto"/>
              <w:ind w:left="86"/>
              <w:rPr>
                <w:rFonts w:ascii="Times New Roman" w:eastAsia="Times New Roman" w:hAnsi="Times New Roman" w:cs="Times New Roman"/>
                <w:color w:val="222222"/>
                <w:sz w:val="24"/>
                <w:szCs w:val="24"/>
                <w:lang w:eastAsia="es-ES"/>
              </w:rPr>
            </w:pPr>
            <w:hyperlink r:id="rId4" w:tgtFrame="_blank" w:history="1">
              <w:r w:rsidRPr="00D45ABE">
                <w:rPr>
                  <w:rFonts w:ascii="Arial" w:eastAsia="Times New Roman" w:hAnsi="Arial" w:cs="Arial"/>
                  <w:b/>
                  <w:bCs/>
                  <w:color w:val="C00000"/>
                  <w:sz w:val="24"/>
                  <w:szCs w:val="24"/>
                  <w:u w:val="single"/>
                  <w:lang w:eastAsia="es-ES"/>
                </w:rPr>
                <w:t>El trámite de conciliación pre-judicial suspende la caducidad e interrumpe la prescripción; pero no por tiempo ilimitado.</w:t>
              </w:r>
            </w:hyperlink>
          </w:p>
          <w:p w:rsidR="00D45ABE" w:rsidRPr="00D45ABE" w:rsidRDefault="00D45ABE" w:rsidP="00D45ABE">
            <w:pPr>
              <w:spacing w:after="120" w:line="240" w:lineRule="auto"/>
              <w:ind w:left="86"/>
              <w:rPr>
                <w:rFonts w:ascii="Times New Roman" w:eastAsia="Times New Roman" w:hAnsi="Times New Roman" w:cs="Times New Roman"/>
                <w:color w:val="222222"/>
                <w:sz w:val="24"/>
                <w:szCs w:val="24"/>
                <w:lang w:eastAsia="es-ES"/>
              </w:rPr>
            </w:pPr>
            <w:r w:rsidRPr="00D45ABE">
              <w:rPr>
                <w:rFonts w:ascii="Arial" w:eastAsia="Times New Roman" w:hAnsi="Arial" w:cs="Arial"/>
                <w:color w:val="222222"/>
                <w:sz w:val="24"/>
                <w:szCs w:val="24"/>
                <w:lang w:eastAsia="es-ES"/>
              </w:rPr>
              <w:t>Sentencia del Tribunal Supremo (Sala 4ª de lo Social) de 27 de octubre de 2016, recaída en el recurso de c asación para la unificación de doctrina número 3754/2015</w:t>
            </w:r>
          </w:p>
          <w:p w:rsidR="00D45ABE" w:rsidRPr="00D45ABE" w:rsidRDefault="00D45ABE" w:rsidP="00D45ABE">
            <w:pPr>
              <w:spacing w:after="120" w:line="240" w:lineRule="auto"/>
              <w:ind w:left="86"/>
              <w:jc w:val="center"/>
              <w:rPr>
                <w:rFonts w:ascii="Times New Roman" w:eastAsia="Times New Roman" w:hAnsi="Times New Roman" w:cs="Times New Roman"/>
                <w:color w:val="222222"/>
                <w:sz w:val="24"/>
                <w:szCs w:val="24"/>
                <w:lang w:eastAsia="es-ES"/>
              </w:rPr>
            </w:pPr>
            <w:hyperlink r:id="rId5" w:tgtFrame="_blank" w:history="1">
              <w:r w:rsidRPr="00D45ABE">
                <w:rPr>
                  <w:rFonts w:ascii="Arial" w:eastAsia="Times New Roman" w:hAnsi="Arial" w:cs="Arial"/>
                  <w:b/>
                  <w:bCs/>
                  <w:color w:val="0190EB"/>
                  <w:sz w:val="28"/>
                  <w:u w:val="single"/>
                  <w:lang w:eastAsia="es-ES"/>
                </w:rPr>
                <w:t>Consulte la</w:t>
              </w:r>
              <w:r w:rsidRPr="00D45ABE">
                <w:rPr>
                  <w:rFonts w:ascii="Arial" w:eastAsia="Times New Roman" w:hAnsi="Arial" w:cs="Arial"/>
                  <w:b/>
                  <w:bCs/>
                  <w:color w:val="0000FF"/>
                  <w:sz w:val="28"/>
                  <w:lang w:eastAsia="es-ES"/>
                </w:rPr>
                <w:t> </w:t>
              </w:r>
              <w:r w:rsidRPr="00D45ABE">
                <w:rPr>
                  <w:rFonts w:ascii="Arial" w:eastAsia="Times New Roman" w:hAnsi="Arial" w:cs="Arial"/>
                  <w:b/>
                  <w:bCs/>
                  <w:color w:val="0190EB"/>
                  <w:sz w:val="28"/>
                  <w:u w:val="single"/>
                  <w:lang w:eastAsia="es-ES"/>
                </w:rPr>
                <w:t>sente</w:t>
              </w:r>
              <w:r w:rsidRPr="00D45ABE">
                <w:rPr>
                  <w:rFonts w:ascii="Arial" w:eastAsia="Times New Roman" w:hAnsi="Arial" w:cs="Arial"/>
                  <w:b/>
                  <w:bCs/>
                  <w:color w:val="0190EB"/>
                  <w:sz w:val="28"/>
                  <w:u w:val="single"/>
                  <w:lang w:eastAsia="es-ES"/>
                </w:rPr>
                <w:t>n</w:t>
              </w:r>
              <w:r w:rsidRPr="00D45ABE">
                <w:rPr>
                  <w:rFonts w:ascii="Arial" w:eastAsia="Times New Roman" w:hAnsi="Arial" w:cs="Arial"/>
                  <w:b/>
                  <w:bCs/>
                  <w:color w:val="0190EB"/>
                  <w:sz w:val="28"/>
                  <w:u w:val="single"/>
                  <w:lang w:eastAsia="es-ES"/>
                </w:rPr>
                <w:t>cia</w:t>
              </w:r>
            </w:hyperlink>
            <w:r w:rsidRPr="00D45ABE">
              <w:rPr>
                <w:rFonts w:ascii="Arial" w:eastAsia="Times New Roman" w:hAnsi="Arial" w:cs="Arial"/>
                <w:b/>
                <w:bCs/>
                <w:color w:val="222222"/>
                <w:sz w:val="28"/>
                <w:szCs w:val="28"/>
                <w:lang w:eastAsia="es-ES"/>
              </w:rPr>
              <w:t>    </w:t>
            </w:r>
            <w:r w:rsidRPr="00D45ABE">
              <w:rPr>
                <w:rFonts w:ascii="Arial" w:eastAsia="Times New Roman" w:hAnsi="Arial" w:cs="Arial"/>
                <w:b/>
                <w:bCs/>
                <w:color w:val="222222"/>
                <w:sz w:val="28"/>
                <w:lang w:eastAsia="es-ES"/>
              </w:rPr>
              <w:t> </w:t>
            </w:r>
            <w:hyperlink r:id="rId6" w:tgtFrame="_blank" w:history="1">
              <w:r w:rsidRPr="00D45ABE">
                <w:rPr>
                  <w:rFonts w:ascii="Arial" w:eastAsia="Times New Roman" w:hAnsi="Arial" w:cs="Arial"/>
                  <w:b/>
                  <w:bCs/>
                  <w:color w:val="0000FF"/>
                  <w:sz w:val="28"/>
                  <w:lang w:eastAsia="es-ES"/>
                </w:rPr>
                <w:t> </w:t>
              </w:r>
              <w:r w:rsidRPr="00D45ABE">
                <w:rPr>
                  <w:rFonts w:ascii="Arial" w:eastAsia="Times New Roman" w:hAnsi="Arial" w:cs="Arial"/>
                  <w:b/>
                  <w:bCs/>
                  <w:color w:val="0190EB"/>
                  <w:sz w:val="28"/>
                  <w:u w:val="single"/>
                  <w:lang w:eastAsia="es-ES"/>
                </w:rPr>
                <w:t>Comentario de la</w:t>
              </w:r>
              <w:r w:rsidRPr="00D45ABE">
                <w:rPr>
                  <w:rFonts w:ascii="Arial" w:eastAsia="Times New Roman" w:hAnsi="Arial" w:cs="Arial"/>
                  <w:b/>
                  <w:bCs/>
                  <w:color w:val="0000FF"/>
                  <w:sz w:val="28"/>
                  <w:lang w:eastAsia="es-ES"/>
                </w:rPr>
                <w:t> </w:t>
              </w:r>
              <w:r w:rsidRPr="00D45ABE">
                <w:rPr>
                  <w:rFonts w:ascii="Arial" w:eastAsia="Times New Roman" w:hAnsi="Arial" w:cs="Arial"/>
                  <w:b/>
                  <w:bCs/>
                  <w:color w:val="0190EB"/>
                  <w:sz w:val="28"/>
                  <w:u w:val="single"/>
                  <w:lang w:eastAsia="es-ES"/>
                </w:rPr>
                <w:t>sentencia</w:t>
              </w:r>
            </w:hyperlink>
          </w:p>
          <w:p w:rsidR="00D45ABE" w:rsidRPr="00D45ABE" w:rsidRDefault="00D45ABE" w:rsidP="00D45ABE">
            <w:pPr>
              <w:spacing w:after="120" w:line="240" w:lineRule="auto"/>
              <w:ind w:left="86"/>
              <w:jc w:val="center"/>
              <w:rPr>
                <w:rFonts w:ascii="Times New Roman" w:eastAsia="Times New Roman" w:hAnsi="Times New Roman" w:cs="Times New Roman"/>
                <w:color w:val="222222"/>
                <w:sz w:val="24"/>
                <w:szCs w:val="24"/>
                <w:lang w:eastAsia="es-ES"/>
              </w:rPr>
            </w:pPr>
            <w:r w:rsidRPr="00D45ABE">
              <w:rPr>
                <w:rFonts w:ascii="Arial" w:eastAsia="Times New Roman" w:hAnsi="Arial" w:cs="Arial"/>
                <w:b/>
                <w:bCs/>
                <w:color w:val="222222"/>
                <w:sz w:val="18"/>
                <w:szCs w:val="18"/>
                <w:lang w:eastAsia="es-ES"/>
              </w:rPr>
              <w:t> </w:t>
            </w:r>
          </w:p>
          <w:p w:rsidR="00D45ABE" w:rsidRPr="00D45ABE" w:rsidRDefault="00D45ABE" w:rsidP="00D45ABE">
            <w:pPr>
              <w:spacing w:after="120" w:line="240" w:lineRule="auto"/>
              <w:ind w:left="86"/>
              <w:jc w:val="center"/>
              <w:rPr>
                <w:rFonts w:ascii="Times New Roman" w:eastAsia="Times New Roman" w:hAnsi="Times New Roman" w:cs="Times New Roman"/>
                <w:color w:val="222222"/>
                <w:sz w:val="24"/>
                <w:szCs w:val="24"/>
                <w:lang w:eastAsia="es-ES"/>
              </w:rPr>
            </w:pPr>
            <w:r w:rsidRPr="00D45ABE">
              <w:rPr>
                <w:rFonts w:ascii="Arial" w:eastAsia="Times New Roman" w:hAnsi="Arial" w:cs="Arial"/>
                <w:b/>
                <w:bCs/>
                <w:color w:val="222222"/>
                <w:sz w:val="28"/>
                <w:szCs w:val="28"/>
                <w:lang w:eastAsia="es-ES"/>
              </w:rPr>
              <w:t>TRIBUNAL SUPREMO</w:t>
            </w:r>
          </w:p>
          <w:p w:rsidR="00D45ABE" w:rsidRPr="00D45ABE" w:rsidRDefault="00D45ABE" w:rsidP="00D45ABE">
            <w:pPr>
              <w:spacing w:after="120" w:line="240" w:lineRule="auto"/>
              <w:ind w:left="86"/>
              <w:rPr>
                <w:rFonts w:ascii="Times New Roman" w:eastAsia="Times New Roman" w:hAnsi="Times New Roman" w:cs="Times New Roman"/>
                <w:color w:val="222222"/>
                <w:sz w:val="24"/>
                <w:szCs w:val="24"/>
                <w:lang w:eastAsia="es-ES"/>
              </w:rPr>
            </w:pPr>
            <w:hyperlink r:id="rId7" w:tgtFrame="_blank" w:history="1">
              <w:r w:rsidRPr="00D45ABE">
                <w:rPr>
                  <w:rFonts w:ascii="Arial" w:eastAsia="Times New Roman" w:hAnsi="Arial" w:cs="Arial"/>
                  <w:b/>
                  <w:bCs/>
                  <w:color w:val="C00000"/>
                  <w:sz w:val="24"/>
                  <w:szCs w:val="24"/>
                  <w:u w:val="single"/>
                  <w:lang w:eastAsia="es-ES"/>
                </w:rPr>
                <w:t>Responsabilidad empresarial en daños derivados de accidente de trabajo</w:t>
              </w:r>
            </w:hyperlink>
          </w:p>
          <w:p w:rsidR="00D45ABE" w:rsidRPr="00D45ABE" w:rsidRDefault="00D45ABE" w:rsidP="00D45ABE">
            <w:pPr>
              <w:spacing w:after="120" w:line="240" w:lineRule="auto"/>
              <w:ind w:left="86"/>
              <w:rPr>
                <w:rFonts w:ascii="Times New Roman" w:eastAsia="Times New Roman" w:hAnsi="Times New Roman" w:cs="Times New Roman"/>
                <w:color w:val="222222"/>
                <w:sz w:val="24"/>
                <w:szCs w:val="24"/>
                <w:lang w:eastAsia="es-ES"/>
              </w:rPr>
            </w:pPr>
            <w:r w:rsidRPr="00D45ABE">
              <w:rPr>
                <w:rFonts w:ascii="Arial" w:eastAsia="Times New Roman" w:hAnsi="Arial" w:cs="Arial"/>
                <w:color w:val="222222"/>
                <w:sz w:val="24"/>
                <w:szCs w:val="24"/>
                <w:lang w:eastAsia="es-ES"/>
              </w:rPr>
              <w:t>El TS, apreciando falta de contradicción, considera que no procede indemnizar por los daños y perjuicios derivados de accidente laboral en un supuesto en que los trabajadores están formados e informados de los riesgos, y la empresa tiene un protocolo de actuación.</w:t>
            </w:r>
          </w:p>
          <w:p w:rsidR="00D45ABE" w:rsidRPr="00D45ABE" w:rsidRDefault="00D45ABE" w:rsidP="00D45ABE">
            <w:pPr>
              <w:spacing w:after="120" w:line="240" w:lineRule="auto"/>
              <w:ind w:left="86"/>
              <w:rPr>
                <w:rFonts w:ascii="Times New Roman" w:eastAsia="Times New Roman" w:hAnsi="Times New Roman" w:cs="Times New Roman"/>
                <w:color w:val="222222"/>
                <w:sz w:val="24"/>
                <w:szCs w:val="24"/>
                <w:lang w:eastAsia="es-ES"/>
              </w:rPr>
            </w:pPr>
            <w:r w:rsidRPr="00D45ABE">
              <w:rPr>
                <w:rFonts w:ascii="Arial" w:eastAsia="Times New Roman" w:hAnsi="Arial" w:cs="Arial"/>
                <w:color w:val="222222"/>
                <w:sz w:val="18"/>
                <w:szCs w:val="18"/>
                <w:lang w:eastAsia="es-ES"/>
              </w:rPr>
              <w:t> </w:t>
            </w:r>
          </w:p>
          <w:p w:rsidR="00D45ABE" w:rsidRPr="00D45ABE" w:rsidRDefault="00D45ABE" w:rsidP="00D45ABE">
            <w:pPr>
              <w:spacing w:after="120" w:line="240" w:lineRule="auto"/>
              <w:ind w:left="86"/>
              <w:jc w:val="center"/>
              <w:rPr>
                <w:rFonts w:ascii="Times New Roman" w:eastAsia="Times New Roman" w:hAnsi="Times New Roman" w:cs="Times New Roman"/>
                <w:color w:val="222222"/>
                <w:sz w:val="24"/>
                <w:szCs w:val="24"/>
                <w:lang w:eastAsia="es-ES"/>
              </w:rPr>
            </w:pPr>
            <w:r w:rsidRPr="00D45ABE">
              <w:rPr>
                <w:rFonts w:ascii="Arial" w:eastAsia="Times New Roman" w:hAnsi="Arial" w:cs="Arial"/>
                <w:b/>
                <w:bCs/>
                <w:color w:val="222222"/>
                <w:sz w:val="28"/>
                <w:szCs w:val="28"/>
                <w:lang w:eastAsia="es-ES"/>
              </w:rPr>
              <w:t>TRIBUNAL ECONÓMICO-ADMINISTRATIVO CENTRAL</w:t>
            </w:r>
          </w:p>
          <w:p w:rsidR="00D45ABE" w:rsidRPr="00D45ABE" w:rsidRDefault="00D45ABE" w:rsidP="00D45ABE">
            <w:pPr>
              <w:spacing w:after="120" w:line="240" w:lineRule="auto"/>
              <w:ind w:left="86"/>
              <w:rPr>
                <w:rFonts w:ascii="Times New Roman" w:eastAsia="Times New Roman" w:hAnsi="Times New Roman" w:cs="Times New Roman"/>
                <w:color w:val="222222"/>
                <w:sz w:val="24"/>
                <w:szCs w:val="24"/>
                <w:lang w:eastAsia="es-ES"/>
              </w:rPr>
            </w:pPr>
            <w:hyperlink r:id="rId8" w:tgtFrame="_blank" w:history="1">
              <w:r w:rsidRPr="00D45ABE">
                <w:rPr>
                  <w:rFonts w:ascii="Arial" w:eastAsia="Times New Roman" w:hAnsi="Arial" w:cs="Arial"/>
                  <w:b/>
                  <w:bCs/>
                  <w:color w:val="C00000"/>
                  <w:sz w:val="24"/>
                  <w:szCs w:val="24"/>
                  <w:u w:val="single"/>
                  <w:lang w:eastAsia="es-ES"/>
                </w:rPr>
                <w:t>El TEAC limita los embargos a los abogados de oficio</w:t>
              </w:r>
            </w:hyperlink>
          </w:p>
          <w:p w:rsidR="00D45ABE" w:rsidRPr="00D45ABE" w:rsidRDefault="00D45ABE" w:rsidP="00D45ABE">
            <w:pPr>
              <w:spacing w:after="120" w:line="240" w:lineRule="auto"/>
              <w:ind w:left="86"/>
              <w:rPr>
                <w:rFonts w:ascii="Times New Roman" w:eastAsia="Times New Roman" w:hAnsi="Times New Roman" w:cs="Times New Roman"/>
                <w:color w:val="222222"/>
                <w:sz w:val="24"/>
                <w:szCs w:val="24"/>
                <w:lang w:eastAsia="es-ES"/>
              </w:rPr>
            </w:pPr>
            <w:r w:rsidRPr="00D45ABE">
              <w:rPr>
                <w:rFonts w:ascii="Arial" w:eastAsia="Times New Roman" w:hAnsi="Arial" w:cs="Arial"/>
                <w:color w:val="222222"/>
                <w:sz w:val="24"/>
                <w:szCs w:val="24"/>
                <w:lang w:eastAsia="es-ES"/>
              </w:rPr>
              <w:t>El Tribunal Económico-Administrativo Central tumba el criterio de la Agencia Tributaria y defiende que los honorarios de los abogados de la Agencia Tributaria son en parte inembargables.</w:t>
            </w:r>
          </w:p>
          <w:p w:rsidR="00D45ABE" w:rsidRPr="00D45ABE" w:rsidRDefault="00D45ABE" w:rsidP="00D45ABE">
            <w:pPr>
              <w:spacing w:after="120" w:line="240" w:lineRule="auto"/>
              <w:ind w:left="86"/>
              <w:rPr>
                <w:rFonts w:ascii="Times New Roman" w:eastAsia="Times New Roman" w:hAnsi="Times New Roman" w:cs="Times New Roman"/>
                <w:color w:val="222222"/>
                <w:sz w:val="24"/>
                <w:szCs w:val="24"/>
                <w:lang w:eastAsia="es-ES"/>
              </w:rPr>
            </w:pPr>
            <w:r w:rsidRPr="00D45ABE">
              <w:rPr>
                <w:rFonts w:ascii="Arial" w:eastAsia="Times New Roman" w:hAnsi="Arial" w:cs="Arial"/>
                <w:color w:val="222222"/>
                <w:sz w:val="18"/>
                <w:szCs w:val="18"/>
                <w:lang w:eastAsia="es-ES"/>
              </w:rPr>
              <w:t> </w:t>
            </w:r>
          </w:p>
          <w:p w:rsidR="00D45ABE" w:rsidRPr="00D45ABE" w:rsidRDefault="00D45ABE" w:rsidP="00D45ABE">
            <w:pPr>
              <w:spacing w:after="120" w:line="240" w:lineRule="auto"/>
              <w:ind w:left="86"/>
              <w:jc w:val="center"/>
              <w:rPr>
                <w:rFonts w:ascii="Times New Roman" w:eastAsia="Times New Roman" w:hAnsi="Times New Roman" w:cs="Times New Roman"/>
                <w:color w:val="222222"/>
                <w:sz w:val="24"/>
                <w:szCs w:val="24"/>
                <w:lang w:eastAsia="es-ES"/>
              </w:rPr>
            </w:pPr>
            <w:r w:rsidRPr="00D45ABE">
              <w:rPr>
                <w:rFonts w:ascii="Arial" w:eastAsia="Times New Roman" w:hAnsi="Arial" w:cs="Arial"/>
                <w:b/>
                <w:bCs/>
                <w:color w:val="222222"/>
                <w:sz w:val="28"/>
                <w:szCs w:val="28"/>
                <w:lang w:eastAsia="es-ES"/>
              </w:rPr>
              <w:t>TRIBUNAL SUPERIOR DE JUSTICIA DE LA UNIÓN EUROPEA</w:t>
            </w:r>
          </w:p>
          <w:p w:rsidR="00D45ABE" w:rsidRPr="00D45ABE" w:rsidRDefault="00D45ABE" w:rsidP="00D45ABE">
            <w:pPr>
              <w:spacing w:after="120" w:line="240" w:lineRule="auto"/>
              <w:ind w:left="86"/>
              <w:rPr>
                <w:rFonts w:ascii="Times New Roman" w:eastAsia="Times New Roman" w:hAnsi="Times New Roman" w:cs="Times New Roman"/>
                <w:color w:val="222222"/>
                <w:sz w:val="24"/>
                <w:szCs w:val="24"/>
                <w:lang w:eastAsia="es-ES"/>
              </w:rPr>
            </w:pPr>
            <w:hyperlink r:id="rId9" w:tgtFrame="_blank" w:history="1">
              <w:r w:rsidRPr="00D45ABE">
                <w:rPr>
                  <w:rFonts w:ascii="Arial" w:eastAsia="Times New Roman" w:hAnsi="Arial" w:cs="Arial"/>
                  <w:b/>
                  <w:bCs/>
                  <w:color w:val="C00000"/>
                  <w:sz w:val="24"/>
                  <w:szCs w:val="24"/>
                  <w:u w:val="single"/>
                  <w:lang w:eastAsia="es-ES"/>
                </w:rPr>
                <w:t>El TJUE reabre el debate del despido nulo si se está de baja</w:t>
              </w:r>
            </w:hyperlink>
          </w:p>
          <w:p w:rsidR="00D45ABE" w:rsidRPr="00D45ABE" w:rsidRDefault="00D45ABE" w:rsidP="00D45ABE">
            <w:pPr>
              <w:spacing w:after="120" w:line="183" w:lineRule="atLeast"/>
              <w:ind w:left="86"/>
              <w:rPr>
                <w:rFonts w:ascii="Times New Roman" w:eastAsia="Times New Roman" w:hAnsi="Times New Roman" w:cs="Times New Roman"/>
                <w:color w:val="222222"/>
                <w:sz w:val="24"/>
                <w:szCs w:val="24"/>
                <w:lang w:eastAsia="es-ES"/>
              </w:rPr>
            </w:pPr>
            <w:r w:rsidRPr="00D45ABE">
              <w:rPr>
                <w:rFonts w:ascii="Arial" w:eastAsia="Times New Roman" w:hAnsi="Arial" w:cs="Arial"/>
                <w:color w:val="222222"/>
                <w:sz w:val="24"/>
                <w:szCs w:val="24"/>
                <w:lang w:eastAsia="es-ES"/>
              </w:rPr>
              <w:t>La justicia europea ha considerado que el despido de un trabajador de baja por accidente laboral es "discriminatorio por discapacidad" y debe ser nulo en lugar de improcedente.</w:t>
            </w:r>
          </w:p>
        </w:tc>
      </w:tr>
      <w:tr w:rsidR="00D45ABE" w:rsidRPr="00D45ABE" w:rsidTr="00D45ABE">
        <w:trPr>
          <w:trHeight w:val="183"/>
        </w:trPr>
        <w:tc>
          <w:tcPr>
            <w:tcW w:w="10950" w:type="dxa"/>
            <w:gridSpan w:val="2"/>
            <w:tcBorders>
              <w:top w:val="nil"/>
              <w:left w:val="threeDEngrave" w:sz="24" w:space="0" w:color="000000"/>
              <w:bottom w:val="threeDEngrave" w:sz="24" w:space="0" w:color="000000"/>
              <w:right w:val="threeDEngrave" w:sz="24" w:space="0" w:color="000000"/>
            </w:tcBorders>
            <w:shd w:val="clear" w:color="auto" w:fill="A6A6A6"/>
            <w:tcMar>
              <w:top w:w="0" w:type="dxa"/>
              <w:left w:w="108" w:type="dxa"/>
              <w:bottom w:w="0" w:type="dxa"/>
              <w:right w:w="108" w:type="dxa"/>
            </w:tcMar>
            <w:vAlign w:val="center"/>
            <w:hideMark/>
          </w:tcPr>
          <w:p w:rsidR="00D45ABE" w:rsidRPr="00D45ABE" w:rsidRDefault="00D45ABE" w:rsidP="00D45ABE">
            <w:pPr>
              <w:spacing w:after="120" w:line="183" w:lineRule="atLeast"/>
              <w:ind w:left="86"/>
              <w:jc w:val="center"/>
              <w:rPr>
                <w:rFonts w:ascii="Times New Roman" w:eastAsia="Times New Roman" w:hAnsi="Times New Roman" w:cs="Times New Roman"/>
                <w:color w:val="222222"/>
                <w:sz w:val="24"/>
                <w:szCs w:val="24"/>
                <w:lang w:eastAsia="es-ES"/>
              </w:rPr>
            </w:pPr>
            <w:r w:rsidRPr="00D45ABE">
              <w:rPr>
                <w:rFonts w:ascii="Arial" w:eastAsia="Times New Roman" w:hAnsi="Arial" w:cs="Arial"/>
                <w:b/>
                <w:bCs/>
                <w:color w:val="222222"/>
                <w:sz w:val="28"/>
                <w:szCs w:val="28"/>
                <w:lang w:eastAsia="es-ES"/>
              </w:rPr>
              <w:t>MINISTERIO DE EMPLEO Y SEGURIDAD SOCIAL</w:t>
            </w:r>
          </w:p>
        </w:tc>
      </w:tr>
      <w:tr w:rsidR="00D45ABE" w:rsidRPr="00D45ABE" w:rsidTr="00D45ABE">
        <w:trPr>
          <w:trHeight w:val="183"/>
        </w:trPr>
        <w:tc>
          <w:tcPr>
            <w:tcW w:w="10950" w:type="dxa"/>
            <w:gridSpan w:val="2"/>
            <w:tcBorders>
              <w:top w:val="nil"/>
              <w:left w:val="threeDEngrave" w:sz="24" w:space="0" w:color="000000"/>
              <w:bottom w:val="threeDEngrave" w:sz="24" w:space="0" w:color="000000"/>
              <w:right w:val="threeDEngrave" w:sz="24" w:space="0" w:color="000000"/>
            </w:tcBorders>
            <w:shd w:val="clear" w:color="auto" w:fill="FFFFFF"/>
            <w:tcMar>
              <w:top w:w="0" w:type="dxa"/>
              <w:left w:w="108" w:type="dxa"/>
              <w:bottom w:w="0" w:type="dxa"/>
              <w:right w:w="108" w:type="dxa"/>
            </w:tcMar>
            <w:vAlign w:val="center"/>
            <w:hideMark/>
          </w:tcPr>
          <w:p w:rsidR="00D45ABE" w:rsidRPr="00D45ABE" w:rsidRDefault="00D45ABE" w:rsidP="00D45ABE">
            <w:pPr>
              <w:spacing w:after="120" w:line="183" w:lineRule="atLeast"/>
              <w:ind w:left="86"/>
              <w:rPr>
                <w:rFonts w:ascii="Times New Roman" w:eastAsia="Times New Roman" w:hAnsi="Times New Roman" w:cs="Times New Roman"/>
                <w:color w:val="222222"/>
                <w:sz w:val="24"/>
                <w:szCs w:val="24"/>
                <w:lang w:eastAsia="es-ES"/>
              </w:rPr>
            </w:pPr>
            <w:hyperlink r:id="rId10" w:tgtFrame="_blank" w:history="1">
              <w:r w:rsidRPr="00D45ABE">
                <w:rPr>
                  <w:rFonts w:ascii="Arial" w:eastAsia="Times New Roman" w:hAnsi="Arial" w:cs="Arial"/>
                  <w:b/>
                  <w:bCs/>
                  <w:color w:val="000000"/>
                  <w:sz w:val="24"/>
                  <w:szCs w:val="24"/>
                  <w:u w:val="single"/>
                  <w:lang w:eastAsia="es-ES"/>
                </w:rPr>
                <w:t xml:space="preserve">Fátima </w:t>
              </w:r>
              <w:proofErr w:type="spellStart"/>
              <w:r w:rsidRPr="00D45ABE">
                <w:rPr>
                  <w:rFonts w:ascii="Arial" w:eastAsia="Times New Roman" w:hAnsi="Arial" w:cs="Arial"/>
                  <w:b/>
                  <w:bCs/>
                  <w:color w:val="000000"/>
                  <w:sz w:val="24"/>
                  <w:szCs w:val="24"/>
                  <w:u w:val="single"/>
                  <w:lang w:eastAsia="es-ES"/>
                </w:rPr>
                <w:t>Báñez</w:t>
              </w:r>
              <w:proofErr w:type="spellEnd"/>
              <w:r w:rsidRPr="00D45ABE">
                <w:rPr>
                  <w:rFonts w:ascii="Arial" w:eastAsia="Times New Roman" w:hAnsi="Arial" w:cs="Arial"/>
                  <w:b/>
                  <w:bCs/>
                  <w:color w:val="000000"/>
                  <w:sz w:val="24"/>
                  <w:szCs w:val="24"/>
                  <w:u w:val="single"/>
                  <w:lang w:eastAsia="es-ES"/>
                </w:rPr>
                <w:t xml:space="preserve"> afirma que la formación digital es clave para la competitividad</w:t>
              </w:r>
            </w:hyperlink>
          </w:p>
        </w:tc>
      </w:tr>
      <w:tr w:rsidR="00D45ABE" w:rsidRPr="00D45ABE" w:rsidTr="00D45ABE">
        <w:trPr>
          <w:trHeight w:val="183"/>
        </w:trPr>
        <w:tc>
          <w:tcPr>
            <w:tcW w:w="5475" w:type="dxa"/>
            <w:tcBorders>
              <w:top w:val="nil"/>
              <w:left w:val="threeDEngrave" w:sz="24" w:space="0" w:color="000000"/>
              <w:bottom w:val="threeDEngrave" w:sz="24" w:space="0" w:color="000000"/>
              <w:right w:val="threeDEngrave" w:sz="24" w:space="0" w:color="000000"/>
            </w:tcBorders>
            <w:shd w:val="clear" w:color="auto" w:fill="D9D9D9"/>
            <w:tcMar>
              <w:top w:w="0" w:type="dxa"/>
              <w:left w:w="108" w:type="dxa"/>
              <w:bottom w:w="0" w:type="dxa"/>
              <w:right w:w="108" w:type="dxa"/>
            </w:tcMar>
            <w:vAlign w:val="center"/>
            <w:hideMark/>
          </w:tcPr>
          <w:p w:rsidR="00D45ABE" w:rsidRPr="00D45ABE" w:rsidRDefault="00D45ABE" w:rsidP="00D45ABE">
            <w:pPr>
              <w:spacing w:after="120" w:line="183" w:lineRule="atLeast"/>
              <w:ind w:left="86"/>
              <w:jc w:val="center"/>
              <w:rPr>
                <w:rFonts w:ascii="Times New Roman" w:eastAsia="Times New Roman" w:hAnsi="Times New Roman" w:cs="Times New Roman"/>
                <w:color w:val="222222"/>
                <w:sz w:val="24"/>
                <w:szCs w:val="24"/>
                <w:lang w:eastAsia="es-ES"/>
              </w:rPr>
            </w:pPr>
            <w:r w:rsidRPr="00D45ABE">
              <w:rPr>
                <w:rFonts w:ascii="Arial" w:eastAsia="Times New Roman" w:hAnsi="Arial" w:cs="Arial"/>
                <w:b/>
                <w:bCs/>
                <w:color w:val="222222"/>
                <w:sz w:val="24"/>
                <w:szCs w:val="24"/>
                <w:lang w:eastAsia="es-ES"/>
              </w:rPr>
              <w:t>SERVICIO PÚBLICO DE EMPLEO ESTATAL</w:t>
            </w:r>
          </w:p>
        </w:tc>
        <w:tc>
          <w:tcPr>
            <w:tcW w:w="5475" w:type="dxa"/>
            <w:tcBorders>
              <w:top w:val="nil"/>
              <w:left w:val="nil"/>
              <w:bottom w:val="threeDEngrave" w:sz="24" w:space="0" w:color="000000"/>
              <w:right w:val="threeDEngrave" w:sz="24" w:space="0" w:color="000000"/>
            </w:tcBorders>
            <w:shd w:val="clear" w:color="auto" w:fill="FFFFFF"/>
            <w:tcMar>
              <w:top w:w="0" w:type="dxa"/>
              <w:left w:w="108" w:type="dxa"/>
              <w:bottom w:w="0" w:type="dxa"/>
              <w:right w:w="108" w:type="dxa"/>
            </w:tcMar>
            <w:vAlign w:val="center"/>
            <w:hideMark/>
          </w:tcPr>
          <w:p w:rsidR="00D45ABE" w:rsidRPr="00D45ABE" w:rsidRDefault="00D45ABE" w:rsidP="00D45ABE">
            <w:pPr>
              <w:spacing w:after="120" w:line="183" w:lineRule="atLeast"/>
              <w:ind w:left="86"/>
              <w:rPr>
                <w:rFonts w:ascii="Times New Roman" w:eastAsia="Times New Roman" w:hAnsi="Times New Roman" w:cs="Times New Roman"/>
                <w:color w:val="222222"/>
                <w:sz w:val="24"/>
                <w:szCs w:val="24"/>
                <w:lang w:eastAsia="es-ES"/>
              </w:rPr>
            </w:pPr>
            <w:hyperlink r:id="rId11" w:tgtFrame="_blank" w:tooltip="Ir a la noticia" w:history="1">
              <w:r w:rsidRPr="00D45ABE">
                <w:rPr>
                  <w:rFonts w:ascii="Arial" w:eastAsia="Times New Roman" w:hAnsi="Arial" w:cs="Arial"/>
                  <w:b/>
                  <w:bCs/>
                  <w:color w:val="000000"/>
                  <w:spacing w:val="4"/>
                  <w:sz w:val="24"/>
                  <w:szCs w:val="24"/>
                  <w:u w:val="single"/>
                  <w:lang w:eastAsia="es-ES"/>
                </w:rPr>
                <w:t>Medidas urgentes para el impulso del Sistema Nacional de Garantía Juvenil</w:t>
              </w:r>
            </w:hyperlink>
          </w:p>
        </w:tc>
      </w:tr>
      <w:tr w:rsidR="00D45ABE" w:rsidRPr="00D45ABE" w:rsidTr="00D45ABE">
        <w:trPr>
          <w:trHeight w:val="183"/>
        </w:trPr>
        <w:tc>
          <w:tcPr>
            <w:tcW w:w="10950" w:type="dxa"/>
            <w:gridSpan w:val="2"/>
            <w:tcBorders>
              <w:top w:val="nil"/>
              <w:left w:val="threeDEngrave" w:sz="24" w:space="0" w:color="000000"/>
              <w:bottom w:val="threeDEngrave" w:sz="24" w:space="0" w:color="000000"/>
              <w:right w:val="threeDEngrave" w:sz="24" w:space="0" w:color="000000"/>
            </w:tcBorders>
            <w:shd w:val="clear" w:color="auto" w:fill="A6A6A6"/>
            <w:tcMar>
              <w:top w:w="0" w:type="dxa"/>
              <w:left w:w="108" w:type="dxa"/>
              <w:bottom w:w="0" w:type="dxa"/>
              <w:right w:w="108" w:type="dxa"/>
            </w:tcMar>
            <w:vAlign w:val="center"/>
            <w:hideMark/>
          </w:tcPr>
          <w:p w:rsidR="00D45ABE" w:rsidRPr="00D45ABE" w:rsidRDefault="00D45ABE" w:rsidP="00D45ABE">
            <w:pPr>
              <w:spacing w:after="120" w:line="183" w:lineRule="atLeast"/>
              <w:ind w:left="176"/>
              <w:jc w:val="center"/>
              <w:rPr>
                <w:rFonts w:ascii="Times New Roman" w:eastAsia="Times New Roman" w:hAnsi="Times New Roman" w:cs="Times New Roman"/>
                <w:color w:val="222222"/>
                <w:sz w:val="24"/>
                <w:szCs w:val="24"/>
                <w:lang w:eastAsia="es-ES"/>
              </w:rPr>
            </w:pPr>
            <w:r w:rsidRPr="00D45ABE">
              <w:rPr>
                <w:rFonts w:ascii="Arial" w:eastAsia="Times New Roman" w:hAnsi="Arial" w:cs="Arial"/>
                <w:b/>
                <w:bCs/>
                <w:color w:val="222222"/>
                <w:sz w:val="28"/>
                <w:szCs w:val="28"/>
                <w:lang w:eastAsia="es-ES"/>
              </w:rPr>
              <w:lastRenderedPageBreak/>
              <w:t>MINISTERIO DE HACIENDA Y FUNCIÓN PÚBLICA</w:t>
            </w:r>
          </w:p>
        </w:tc>
      </w:tr>
      <w:tr w:rsidR="00D45ABE" w:rsidRPr="00D45ABE" w:rsidTr="00D45ABE">
        <w:trPr>
          <w:trHeight w:val="183"/>
        </w:trPr>
        <w:tc>
          <w:tcPr>
            <w:tcW w:w="10950" w:type="dxa"/>
            <w:gridSpan w:val="2"/>
            <w:tcBorders>
              <w:top w:val="nil"/>
              <w:left w:val="threeDEngrave" w:sz="24" w:space="0" w:color="000000"/>
              <w:bottom w:val="threeDEngrave" w:sz="24" w:space="0" w:color="000000"/>
              <w:right w:val="threeDEngrave" w:sz="24" w:space="0" w:color="000000"/>
            </w:tcBorders>
            <w:shd w:val="clear" w:color="auto" w:fill="FFFFFF"/>
            <w:tcMar>
              <w:top w:w="0" w:type="dxa"/>
              <w:left w:w="108" w:type="dxa"/>
              <w:bottom w:w="0" w:type="dxa"/>
              <w:right w:w="108" w:type="dxa"/>
            </w:tcMar>
            <w:vAlign w:val="center"/>
            <w:hideMark/>
          </w:tcPr>
          <w:p w:rsidR="00D45ABE" w:rsidRPr="00D45ABE" w:rsidRDefault="00D45ABE" w:rsidP="00D45ABE">
            <w:pPr>
              <w:spacing w:after="120" w:line="183" w:lineRule="atLeast"/>
              <w:ind w:left="86"/>
              <w:rPr>
                <w:rFonts w:ascii="Times New Roman" w:eastAsia="Times New Roman" w:hAnsi="Times New Roman" w:cs="Times New Roman"/>
                <w:color w:val="222222"/>
                <w:sz w:val="24"/>
                <w:szCs w:val="24"/>
                <w:lang w:eastAsia="es-ES"/>
              </w:rPr>
            </w:pPr>
            <w:hyperlink r:id="rId12" w:tgtFrame="_blank" w:history="1">
              <w:r w:rsidRPr="00D45ABE">
                <w:rPr>
                  <w:rFonts w:ascii="Arial" w:eastAsia="Times New Roman" w:hAnsi="Arial" w:cs="Arial"/>
                  <w:b/>
                  <w:bCs/>
                  <w:color w:val="000000"/>
                  <w:sz w:val="24"/>
                  <w:szCs w:val="24"/>
                  <w:u w:val="single"/>
                  <w:lang w:eastAsia="es-ES"/>
                </w:rPr>
                <w:t>El Ministerio de Hacienda y Función Pública desmiente un endurecimiento en el impuesto de matriculación</w:t>
              </w:r>
            </w:hyperlink>
          </w:p>
        </w:tc>
      </w:tr>
      <w:tr w:rsidR="00D45ABE" w:rsidRPr="00D45ABE" w:rsidTr="00D45ABE">
        <w:trPr>
          <w:trHeight w:val="183"/>
        </w:trPr>
        <w:tc>
          <w:tcPr>
            <w:tcW w:w="5475" w:type="dxa"/>
            <w:tcBorders>
              <w:top w:val="nil"/>
              <w:left w:val="threeDEngrave" w:sz="24" w:space="0" w:color="000000"/>
              <w:bottom w:val="threeDEngrave" w:sz="24" w:space="0" w:color="000000"/>
              <w:right w:val="threeDEngrave" w:sz="24" w:space="0" w:color="000000"/>
            </w:tcBorders>
            <w:shd w:val="clear" w:color="auto" w:fill="D9D9D9"/>
            <w:tcMar>
              <w:top w:w="0" w:type="dxa"/>
              <w:left w:w="108" w:type="dxa"/>
              <w:bottom w:w="0" w:type="dxa"/>
              <w:right w:w="108" w:type="dxa"/>
            </w:tcMar>
            <w:vAlign w:val="center"/>
            <w:hideMark/>
          </w:tcPr>
          <w:p w:rsidR="00D45ABE" w:rsidRPr="00D45ABE" w:rsidRDefault="00D45ABE" w:rsidP="00D45ABE">
            <w:pPr>
              <w:spacing w:after="120" w:line="183" w:lineRule="atLeast"/>
              <w:jc w:val="center"/>
              <w:rPr>
                <w:rFonts w:ascii="Times New Roman" w:eastAsia="Times New Roman" w:hAnsi="Times New Roman" w:cs="Times New Roman"/>
                <w:color w:val="222222"/>
                <w:sz w:val="24"/>
                <w:szCs w:val="24"/>
                <w:lang w:eastAsia="es-ES"/>
              </w:rPr>
            </w:pPr>
            <w:r w:rsidRPr="00D45ABE">
              <w:rPr>
                <w:rFonts w:ascii="Arial" w:eastAsia="Times New Roman" w:hAnsi="Arial" w:cs="Arial"/>
                <w:b/>
                <w:bCs/>
                <w:color w:val="222222"/>
                <w:sz w:val="24"/>
                <w:szCs w:val="24"/>
                <w:lang w:eastAsia="es-ES"/>
              </w:rPr>
              <w:t>AGENCIA ESTATAL DE ADMINISTRACIÓN TRIBUTARIA</w:t>
            </w:r>
          </w:p>
        </w:tc>
        <w:tc>
          <w:tcPr>
            <w:tcW w:w="5475" w:type="dxa"/>
            <w:tcBorders>
              <w:top w:val="nil"/>
              <w:left w:val="nil"/>
              <w:bottom w:val="threeDEngrave" w:sz="24" w:space="0" w:color="000000"/>
              <w:right w:val="threeDEngrave" w:sz="24" w:space="0" w:color="000000"/>
            </w:tcBorders>
            <w:shd w:val="clear" w:color="auto" w:fill="FFFFFF"/>
            <w:tcMar>
              <w:top w:w="0" w:type="dxa"/>
              <w:left w:w="108" w:type="dxa"/>
              <w:bottom w:w="0" w:type="dxa"/>
              <w:right w:w="108" w:type="dxa"/>
            </w:tcMar>
            <w:vAlign w:val="center"/>
            <w:hideMark/>
          </w:tcPr>
          <w:p w:rsidR="00D45ABE" w:rsidRPr="00D45ABE" w:rsidRDefault="00D45ABE" w:rsidP="00D45ABE">
            <w:pPr>
              <w:shd w:val="clear" w:color="auto" w:fill="FFFFFF"/>
              <w:spacing w:before="107" w:after="0" w:line="240" w:lineRule="auto"/>
              <w:rPr>
                <w:rFonts w:ascii="Times New Roman" w:eastAsia="Times New Roman" w:hAnsi="Times New Roman" w:cs="Times New Roman"/>
                <w:color w:val="222222"/>
                <w:sz w:val="24"/>
                <w:szCs w:val="24"/>
                <w:lang w:eastAsia="es-ES"/>
              </w:rPr>
            </w:pPr>
            <w:r w:rsidRPr="00D45ABE">
              <w:rPr>
                <w:rFonts w:ascii="Arial" w:eastAsia="Times New Roman" w:hAnsi="Arial" w:cs="Arial"/>
                <w:color w:val="222222"/>
                <w:lang w:eastAsia="es-ES"/>
              </w:rPr>
              <w:t> </w:t>
            </w:r>
          </w:p>
          <w:p w:rsidR="00D45ABE" w:rsidRPr="00D45ABE" w:rsidRDefault="00D45ABE" w:rsidP="00D45ABE">
            <w:pPr>
              <w:shd w:val="clear" w:color="auto" w:fill="FFFFFF"/>
              <w:spacing w:before="107" w:after="0" w:line="240" w:lineRule="auto"/>
              <w:rPr>
                <w:rFonts w:ascii="Times New Roman" w:eastAsia="Times New Roman" w:hAnsi="Times New Roman" w:cs="Times New Roman"/>
                <w:color w:val="222222"/>
                <w:sz w:val="24"/>
                <w:szCs w:val="24"/>
                <w:lang w:eastAsia="es-ES"/>
              </w:rPr>
            </w:pPr>
            <w:hyperlink r:id="rId13" w:tgtFrame="_blank" w:history="1">
              <w:r w:rsidRPr="00D45ABE">
                <w:rPr>
                  <w:rFonts w:ascii="Arial" w:eastAsia="Times New Roman" w:hAnsi="Arial" w:cs="Arial"/>
                  <w:b/>
                  <w:bCs/>
                  <w:color w:val="000000"/>
                  <w:u w:val="single"/>
                  <w:lang w:eastAsia="es-ES"/>
                </w:rPr>
                <w:t>Folleto informativo: Viajeros procedentes del Principado de Andorra</w:t>
              </w:r>
            </w:hyperlink>
          </w:p>
          <w:p w:rsidR="00D45ABE" w:rsidRPr="00D45ABE" w:rsidRDefault="00D45ABE" w:rsidP="00D45ABE">
            <w:pPr>
              <w:shd w:val="clear" w:color="auto" w:fill="FFFFFF"/>
              <w:spacing w:before="107" w:after="0" w:line="240" w:lineRule="auto"/>
              <w:rPr>
                <w:rFonts w:ascii="Times New Roman" w:eastAsia="Times New Roman" w:hAnsi="Times New Roman" w:cs="Times New Roman"/>
                <w:color w:val="222222"/>
                <w:sz w:val="24"/>
                <w:szCs w:val="24"/>
                <w:lang w:eastAsia="es-ES"/>
              </w:rPr>
            </w:pPr>
            <w:r w:rsidRPr="00D45ABE">
              <w:rPr>
                <w:rFonts w:ascii="Arial" w:eastAsia="Times New Roman" w:hAnsi="Arial" w:cs="Arial"/>
                <w:color w:val="222222"/>
                <w:lang w:eastAsia="es-ES"/>
              </w:rPr>
              <w:t>Se encuentra disponible folleto informativo con las exenciones de derechos y de impuestos para los viajeros procedentes del Principado de Andorra</w:t>
            </w:r>
          </w:p>
          <w:p w:rsidR="00D45ABE" w:rsidRPr="00D45ABE" w:rsidRDefault="00D45ABE" w:rsidP="00D45ABE">
            <w:pPr>
              <w:shd w:val="clear" w:color="auto" w:fill="FFFFFF"/>
              <w:spacing w:before="107" w:after="0" w:line="240" w:lineRule="auto"/>
              <w:rPr>
                <w:rFonts w:ascii="Times New Roman" w:eastAsia="Times New Roman" w:hAnsi="Times New Roman" w:cs="Times New Roman"/>
                <w:color w:val="222222"/>
                <w:sz w:val="24"/>
                <w:szCs w:val="24"/>
                <w:lang w:eastAsia="es-ES"/>
              </w:rPr>
            </w:pPr>
            <w:r w:rsidRPr="00D45ABE">
              <w:rPr>
                <w:rFonts w:ascii="Arial" w:eastAsia="Times New Roman" w:hAnsi="Arial" w:cs="Arial"/>
                <w:color w:val="222222"/>
                <w:lang w:eastAsia="es-ES"/>
              </w:rPr>
              <w:t> </w:t>
            </w:r>
          </w:p>
          <w:p w:rsidR="00D45ABE" w:rsidRPr="00D45ABE" w:rsidRDefault="00D45ABE" w:rsidP="00D45ABE">
            <w:pPr>
              <w:shd w:val="clear" w:color="auto" w:fill="FFFFFF"/>
              <w:spacing w:before="107" w:after="0" w:line="240" w:lineRule="auto"/>
              <w:rPr>
                <w:rFonts w:ascii="Times New Roman" w:eastAsia="Times New Roman" w:hAnsi="Times New Roman" w:cs="Times New Roman"/>
                <w:color w:val="222222"/>
                <w:sz w:val="24"/>
                <w:szCs w:val="24"/>
                <w:lang w:eastAsia="es-ES"/>
              </w:rPr>
            </w:pPr>
            <w:hyperlink r:id="rId14" w:tgtFrame="_blank" w:history="1">
              <w:r w:rsidRPr="00D45ABE">
                <w:rPr>
                  <w:rFonts w:ascii="Arial" w:eastAsia="Times New Roman" w:hAnsi="Arial" w:cs="Arial"/>
                  <w:b/>
                  <w:bCs/>
                  <w:color w:val="C00000"/>
                  <w:u w:val="single"/>
                  <w:lang w:eastAsia="es-ES"/>
                </w:rPr>
                <w:t>Novedades en Suministro Inmediato de Información del IVA (SII): Información técnica y preguntas frecuentes (versión 05)</w:t>
              </w:r>
            </w:hyperlink>
          </w:p>
          <w:p w:rsidR="00D45ABE" w:rsidRPr="00D45ABE" w:rsidRDefault="00D45ABE" w:rsidP="00D45ABE">
            <w:pPr>
              <w:shd w:val="clear" w:color="auto" w:fill="FFFFFF"/>
              <w:spacing w:before="107" w:after="0" w:line="240" w:lineRule="auto"/>
              <w:rPr>
                <w:rFonts w:ascii="Times New Roman" w:eastAsia="Times New Roman" w:hAnsi="Times New Roman" w:cs="Times New Roman"/>
                <w:color w:val="222222"/>
                <w:sz w:val="24"/>
                <w:szCs w:val="24"/>
                <w:lang w:eastAsia="es-ES"/>
              </w:rPr>
            </w:pPr>
            <w:r w:rsidRPr="00D45ABE">
              <w:rPr>
                <w:rFonts w:ascii="Arial" w:eastAsia="Times New Roman" w:hAnsi="Arial" w:cs="Arial"/>
                <w:color w:val="222222"/>
                <w:lang w:eastAsia="es-ES"/>
              </w:rPr>
              <w:t>Se ha sustituido la versión inicial de la información técnica y las preguntas frecuentes por la versión 05. Debe advertirse que se han precisado los ejemplos expuestos en las preguntas 1.12, 3.12 y 4.10 del documento "Preguntas frecuentes para aplicar a partir del 7 de febrero".</w:t>
            </w:r>
          </w:p>
          <w:p w:rsidR="00D45ABE" w:rsidRPr="00D45ABE" w:rsidRDefault="00D45ABE" w:rsidP="00D45ABE">
            <w:pPr>
              <w:shd w:val="clear" w:color="auto" w:fill="FFFFFF"/>
              <w:spacing w:before="107" w:after="0" w:line="240" w:lineRule="auto"/>
              <w:rPr>
                <w:rFonts w:ascii="Times New Roman" w:eastAsia="Times New Roman" w:hAnsi="Times New Roman" w:cs="Times New Roman"/>
                <w:color w:val="222222"/>
                <w:sz w:val="24"/>
                <w:szCs w:val="24"/>
                <w:lang w:eastAsia="es-ES"/>
              </w:rPr>
            </w:pPr>
            <w:r w:rsidRPr="00D45ABE">
              <w:rPr>
                <w:rFonts w:ascii="Arial" w:eastAsia="Times New Roman" w:hAnsi="Arial" w:cs="Arial"/>
                <w:color w:val="222222"/>
                <w:lang w:eastAsia="es-ES"/>
              </w:rPr>
              <w:t> </w:t>
            </w:r>
          </w:p>
          <w:p w:rsidR="00D45ABE" w:rsidRPr="00D45ABE" w:rsidRDefault="00D45ABE" w:rsidP="00D45ABE">
            <w:pPr>
              <w:shd w:val="clear" w:color="auto" w:fill="FFFFFF"/>
              <w:spacing w:before="107" w:after="0" w:line="240" w:lineRule="auto"/>
              <w:rPr>
                <w:rFonts w:ascii="Times New Roman" w:eastAsia="Times New Roman" w:hAnsi="Times New Roman" w:cs="Times New Roman"/>
                <w:color w:val="222222"/>
                <w:sz w:val="24"/>
                <w:szCs w:val="24"/>
                <w:lang w:eastAsia="es-ES"/>
              </w:rPr>
            </w:pPr>
            <w:hyperlink r:id="rId15" w:tgtFrame="_blank" w:history="1">
              <w:r w:rsidRPr="00D45ABE">
                <w:rPr>
                  <w:rFonts w:ascii="Arial" w:eastAsia="Times New Roman" w:hAnsi="Arial" w:cs="Arial"/>
                  <w:b/>
                  <w:bCs/>
                  <w:color w:val="C00000"/>
                  <w:u w:val="single"/>
                  <w:lang w:eastAsia="es-ES"/>
                </w:rPr>
                <w:t>Proyecto de Orden por la que se regulan las especificaciones normativas y técnicas de desarrollo del SII</w:t>
              </w:r>
            </w:hyperlink>
          </w:p>
          <w:p w:rsidR="00D45ABE" w:rsidRPr="00D45ABE" w:rsidRDefault="00D45ABE" w:rsidP="00D45ABE">
            <w:pPr>
              <w:shd w:val="clear" w:color="auto" w:fill="FFFFFF"/>
              <w:spacing w:before="107" w:after="0" w:line="183" w:lineRule="atLeast"/>
              <w:rPr>
                <w:rFonts w:ascii="Times New Roman" w:eastAsia="Times New Roman" w:hAnsi="Times New Roman" w:cs="Times New Roman"/>
                <w:color w:val="222222"/>
                <w:sz w:val="24"/>
                <w:szCs w:val="24"/>
                <w:lang w:eastAsia="es-ES"/>
              </w:rPr>
            </w:pPr>
            <w:r w:rsidRPr="00D45ABE">
              <w:rPr>
                <w:rFonts w:ascii="Arial" w:eastAsia="Times New Roman" w:hAnsi="Arial" w:cs="Arial"/>
                <w:color w:val="222222"/>
                <w:lang w:eastAsia="es-ES"/>
              </w:rPr>
              <w:t xml:space="preserve">Se ha incorporado dentro de "Normativa" un nuevo apartado de "Normas en tramitación" donde aparece publicado el Proyecto de Orden por la que se regulan las especificaciones normativas y técnicas que desarrollan la llevanza de los Libros registro del Impuesto sobre el Valor Añadido a través de la Sede electrónica de la Agencia Estatal de Administración Tributaria, establecida en el artículo 62.6 del Reglamento del Impuesto sobre el Valor Añadido y se modifican la Orden EHA/1274/2007, de 26 de abril, por la que se aprueban los modelos 036 de Declaración censal de alta, modificación y baja en el censo de empresarios, profesionales y retenedores y 037 Declaración censal simplificada de alta, </w:t>
            </w:r>
            <w:r w:rsidRPr="00D45ABE">
              <w:rPr>
                <w:rFonts w:ascii="Arial" w:eastAsia="Times New Roman" w:hAnsi="Arial" w:cs="Arial"/>
                <w:color w:val="222222"/>
                <w:lang w:eastAsia="es-ES"/>
              </w:rPr>
              <w:lastRenderedPageBreak/>
              <w:t>modificación y baja en el censo de empresarios, profesionales y retenedores, la Orden EHA/3111/2009, de 5 de noviembre, por la que se aprueba el modelo 390 de Declaración-resumen anual del Impuesto sobre el Valor Añadido, y los modelos tributarios del Impuesto sobre el Valor Añadido 303 de autoliquidación del Impuesto, aprobado por la Orden EHA/3786/2008, de 29 de diciembre, y 322 de autoliquidación mensual individual del régimen especial del grupo de entidades, aprobado por la Orden EHA/3434/2007, de 23 de noviembre.</w:t>
            </w:r>
          </w:p>
        </w:tc>
      </w:tr>
      <w:tr w:rsidR="00D45ABE" w:rsidRPr="00D45ABE" w:rsidTr="00D45ABE">
        <w:trPr>
          <w:trHeight w:val="183"/>
        </w:trPr>
        <w:tc>
          <w:tcPr>
            <w:tcW w:w="10950" w:type="dxa"/>
            <w:gridSpan w:val="2"/>
            <w:tcBorders>
              <w:top w:val="nil"/>
              <w:left w:val="threeDEngrave" w:sz="24" w:space="0" w:color="000000"/>
              <w:bottom w:val="threeDEngrave" w:sz="24" w:space="0" w:color="000000"/>
              <w:right w:val="threeDEngrave" w:sz="24" w:space="0" w:color="000000"/>
            </w:tcBorders>
            <w:shd w:val="clear" w:color="auto" w:fill="A6A6A6"/>
            <w:tcMar>
              <w:top w:w="0" w:type="dxa"/>
              <w:left w:w="108" w:type="dxa"/>
              <w:bottom w:w="0" w:type="dxa"/>
              <w:right w:w="108" w:type="dxa"/>
            </w:tcMar>
            <w:vAlign w:val="center"/>
            <w:hideMark/>
          </w:tcPr>
          <w:p w:rsidR="00D45ABE" w:rsidRPr="00D45ABE" w:rsidRDefault="00D45ABE" w:rsidP="00D45ABE">
            <w:pPr>
              <w:spacing w:after="120" w:line="183" w:lineRule="atLeast"/>
              <w:ind w:left="176"/>
              <w:jc w:val="center"/>
              <w:rPr>
                <w:rFonts w:ascii="Times New Roman" w:eastAsia="Times New Roman" w:hAnsi="Times New Roman" w:cs="Times New Roman"/>
                <w:color w:val="222222"/>
                <w:sz w:val="24"/>
                <w:szCs w:val="24"/>
                <w:lang w:eastAsia="es-ES"/>
              </w:rPr>
            </w:pPr>
            <w:r w:rsidRPr="00D45ABE">
              <w:rPr>
                <w:rFonts w:ascii="Arial" w:eastAsia="Times New Roman" w:hAnsi="Arial" w:cs="Arial"/>
                <w:b/>
                <w:bCs/>
                <w:color w:val="222222"/>
                <w:sz w:val="28"/>
                <w:szCs w:val="28"/>
                <w:lang w:eastAsia="es-ES"/>
              </w:rPr>
              <w:lastRenderedPageBreak/>
              <w:t>MINISTERIO DE ECONOMÍA, INDUSTRIA Y COMPETITIVIDAD</w:t>
            </w:r>
          </w:p>
        </w:tc>
      </w:tr>
      <w:tr w:rsidR="00D45ABE" w:rsidRPr="00D45ABE" w:rsidTr="00D45ABE">
        <w:trPr>
          <w:trHeight w:val="183"/>
        </w:trPr>
        <w:tc>
          <w:tcPr>
            <w:tcW w:w="10950" w:type="dxa"/>
            <w:gridSpan w:val="2"/>
            <w:tcBorders>
              <w:top w:val="nil"/>
              <w:left w:val="threeDEngrave" w:sz="24" w:space="0" w:color="000000"/>
              <w:bottom w:val="threeDEngrave" w:sz="24" w:space="0" w:color="000000"/>
              <w:right w:val="threeDEngrave" w:sz="24" w:space="0" w:color="000000"/>
            </w:tcBorders>
            <w:shd w:val="clear" w:color="auto" w:fill="FFFFFF"/>
            <w:tcMar>
              <w:top w:w="0" w:type="dxa"/>
              <w:left w:w="108" w:type="dxa"/>
              <w:bottom w:w="0" w:type="dxa"/>
              <w:right w:w="108" w:type="dxa"/>
            </w:tcMar>
            <w:vAlign w:val="center"/>
            <w:hideMark/>
          </w:tcPr>
          <w:p w:rsidR="00D45ABE" w:rsidRPr="00D45ABE" w:rsidRDefault="00D45ABE" w:rsidP="00D45ABE">
            <w:pPr>
              <w:spacing w:after="120" w:line="240" w:lineRule="auto"/>
              <w:ind w:left="86"/>
              <w:rPr>
                <w:rFonts w:ascii="Times New Roman" w:eastAsia="Times New Roman" w:hAnsi="Times New Roman" w:cs="Times New Roman"/>
                <w:color w:val="222222"/>
                <w:sz w:val="24"/>
                <w:szCs w:val="24"/>
                <w:lang w:eastAsia="es-ES"/>
              </w:rPr>
            </w:pPr>
            <w:hyperlink r:id="rId16" w:tgtFrame="_blank" w:history="1">
              <w:r w:rsidRPr="00D45ABE">
                <w:rPr>
                  <w:rFonts w:ascii="Arial" w:eastAsia="Times New Roman" w:hAnsi="Arial" w:cs="Arial"/>
                  <w:b/>
                  <w:bCs/>
                  <w:color w:val="000000"/>
                  <w:sz w:val="24"/>
                  <w:szCs w:val="24"/>
                  <w:u w:val="single"/>
                  <w:lang w:eastAsia="es-ES"/>
                </w:rPr>
                <w:t>El ICO y las entidades financieras ponen en marcha las Líneas de Financiación ICO 2017</w:t>
              </w:r>
            </w:hyperlink>
          </w:p>
          <w:p w:rsidR="00D45ABE" w:rsidRPr="00D45ABE" w:rsidRDefault="00D45ABE" w:rsidP="00D45ABE">
            <w:pPr>
              <w:spacing w:after="120" w:line="240" w:lineRule="auto"/>
              <w:ind w:left="86"/>
              <w:rPr>
                <w:rFonts w:ascii="Times New Roman" w:eastAsia="Times New Roman" w:hAnsi="Times New Roman" w:cs="Times New Roman"/>
                <w:color w:val="222222"/>
                <w:sz w:val="24"/>
                <w:szCs w:val="24"/>
                <w:lang w:eastAsia="es-ES"/>
              </w:rPr>
            </w:pPr>
            <w:r w:rsidRPr="00D45ABE">
              <w:rPr>
                <w:rFonts w:ascii="Arial" w:eastAsia="Times New Roman" w:hAnsi="Arial" w:cs="Arial"/>
                <w:color w:val="222222"/>
                <w:sz w:val="24"/>
                <w:szCs w:val="24"/>
                <w:lang w:eastAsia="es-ES"/>
              </w:rPr>
              <w:t>El Instituto de Crédito Oficial (ICO) ha firmado los protocolos de colaboración con las entidades financieras para la puesta en marcha de las Líneas ICO 2017. El ICO es actualmente la institución de referencia en la concesión de préstamos a pymes. Durante los últimos cinco años, y especialmente durante las fases más agudas de la crisis económica en las que existían restricciones de crédito por parte de las entidades privadas, el organismo ha concedido 61.485 millones de euros a 898.100 empresas a través de sus líneas de financiación. Durante este año, el ICO continuará con su estrategia de crecimiento de la financiación a largo plazo, potenciando las líneas de internacionalización y la especialización en nuevos productos que aporten valor añadido a la financiación y exportación de las empresas.</w:t>
            </w:r>
          </w:p>
          <w:p w:rsidR="00D45ABE" w:rsidRPr="00D45ABE" w:rsidRDefault="00D45ABE" w:rsidP="00D45ABE">
            <w:pPr>
              <w:spacing w:after="120" w:line="240" w:lineRule="auto"/>
              <w:ind w:left="86"/>
              <w:rPr>
                <w:rFonts w:ascii="Times New Roman" w:eastAsia="Times New Roman" w:hAnsi="Times New Roman" w:cs="Times New Roman"/>
                <w:color w:val="222222"/>
                <w:sz w:val="24"/>
                <w:szCs w:val="24"/>
                <w:lang w:eastAsia="es-ES"/>
              </w:rPr>
            </w:pPr>
            <w:r w:rsidRPr="00D45ABE">
              <w:rPr>
                <w:rFonts w:ascii="Arial" w:eastAsia="Times New Roman" w:hAnsi="Arial" w:cs="Arial"/>
                <w:color w:val="222222"/>
                <w:sz w:val="18"/>
                <w:szCs w:val="18"/>
                <w:lang w:eastAsia="es-ES"/>
              </w:rPr>
              <w:t> </w:t>
            </w:r>
          </w:p>
          <w:p w:rsidR="00D45ABE" w:rsidRPr="00D45ABE" w:rsidRDefault="00D45ABE" w:rsidP="00D45ABE">
            <w:pPr>
              <w:spacing w:after="120" w:line="240" w:lineRule="auto"/>
              <w:ind w:left="86"/>
              <w:rPr>
                <w:rFonts w:ascii="Times New Roman" w:eastAsia="Times New Roman" w:hAnsi="Times New Roman" w:cs="Times New Roman"/>
                <w:color w:val="222222"/>
                <w:sz w:val="24"/>
                <w:szCs w:val="24"/>
                <w:lang w:eastAsia="es-ES"/>
              </w:rPr>
            </w:pPr>
            <w:hyperlink r:id="rId17" w:tgtFrame="_blank" w:history="1">
              <w:r w:rsidRPr="00D45ABE">
                <w:rPr>
                  <w:rFonts w:ascii="Arial" w:eastAsia="Times New Roman" w:hAnsi="Arial" w:cs="Arial"/>
                  <w:b/>
                  <w:bCs/>
                  <w:color w:val="000000"/>
                  <w:sz w:val="24"/>
                  <w:szCs w:val="24"/>
                  <w:u w:val="single"/>
                  <w:lang w:eastAsia="es-ES"/>
                </w:rPr>
                <w:t>La competitividad-precio de la economía mejoró frente a la zona euro y la OCDE en 2016</w:t>
              </w:r>
            </w:hyperlink>
          </w:p>
          <w:p w:rsidR="00D45ABE" w:rsidRPr="00D45ABE" w:rsidRDefault="00D45ABE" w:rsidP="00D45ABE">
            <w:pPr>
              <w:spacing w:after="120" w:line="183" w:lineRule="atLeast"/>
              <w:ind w:left="86"/>
              <w:rPr>
                <w:rFonts w:ascii="Times New Roman" w:eastAsia="Times New Roman" w:hAnsi="Times New Roman" w:cs="Times New Roman"/>
                <w:color w:val="222222"/>
                <w:sz w:val="24"/>
                <w:szCs w:val="24"/>
                <w:lang w:eastAsia="es-ES"/>
              </w:rPr>
            </w:pPr>
            <w:r w:rsidRPr="00D45ABE">
              <w:rPr>
                <w:rFonts w:ascii="Arial" w:eastAsia="Times New Roman" w:hAnsi="Arial" w:cs="Arial"/>
                <w:color w:val="222222"/>
                <w:sz w:val="24"/>
                <w:szCs w:val="24"/>
                <w:lang w:eastAsia="es-ES"/>
              </w:rPr>
              <w:t>La competitividad-precio de la economía española frente a la zona euro y la OCDE mejoró en 2016, según el Índice de Tendencia de la Competitividad (ITC) calculado con el Índice de Precios de Consumo (IPC). Refleja también un empeoramiento con respecto al conjunto de la UE, debido principalmente a la depreciación de la libra, ya que el Reino Unido es con diferencia el principal socio comercial de los países de la UE no incorporados al euro.</w:t>
            </w:r>
          </w:p>
        </w:tc>
      </w:tr>
      <w:tr w:rsidR="00D45ABE" w:rsidRPr="00D45ABE" w:rsidTr="00D45ABE">
        <w:trPr>
          <w:trHeight w:val="183"/>
        </w:trPr>
        <w:tc>
          <w:tcPr>
            <w:tcW w:w="5475" w:type="dxa"/>
            <w:tcBorders>
              <w:top w:val="nil"/>
              <w:left w:val="threeDEngrave" w:sz="24" w:space="0" w:color="000000"/>
              <w:bottom w:val="threeDEngrave" w:sz="24" w:space="0" w:color="000000"/>
              <w:right w:val="threeDEngrave" w:sz="24" w:space="0" w:color="000000"/>
            </w:tcBorders>
            <w:shd w:val="clear" w:color="auto" w:fill="D9D9D9"/>
            <w:tcMar>
              <w:top w:w="0" w:type="dxa"/>
              <w:left w:w="108" w:type="dxa"/>
              <w:bottom w:w="0" w:type="dxa"/>
              <w:right w:w="108" w:type="dxa"/>
            </w:tcMar>
            <w:vAlign w:val="center"/>
            <w:hideMark/>
          </w:tcPr>
          <w:p w:rsidR="00D45ABE" w:rsidRPr="00D45ABE" w:rsidRDefault="00D45ABE" w:rsidP="00D45ABE">
            <w:pPr>
              <w:spacing w:after="120" w:line="183" w:lineRule="atLeast"/>
              <w:ind w:left="86"/>
              <w:jc w:val="center"/>
              <w:rPr>
                <w:rFonts w:ascii="Times New Roman" w:eastAsia="Times New Roman" w:hAnsi="Times New Roman" w:cs="Times New Roman"/>
                <w:color w:val="222222"/>
                <w:sz w:val="24"/>
                <w:szCs w:val="24"/>
                <w:lang w:eastAsia="es-ES"/>
              </w:rPr>
            </w:pPr>
            <w:r w:rsidRPr="00D45ABE">
              <w:rPr>
                <w:rFonts w:ascii="Arial" w:eastAsia="Times New Roman" w:hAnsi="Arial" w:cs="Arial"/>
                <w:b/>
                <w:bCs/>
                <w:color w:val="222222"/>
                <w:sz w:val="24"/>
                <w:szCs w:val="24"/>
                <w:lang w:eastAsia="es-ES"/>
              </w:rPr>
              <w:t>INSTITUTO NACIONAL DE ESTADÍSTICA</w:t>
            </w:r>
          </w:p>
        </w:tc>
        <w:tc>
          <w:tcPr>
            <w:tcW w:w="5475" w:type="dxa"/>
            <w:tcBorders>
              <w:top w:val="nil"/>
              <w:left w:val="nil"/>
              <w:bottom w:val="threeDEngrave" w:sz="24" w:space="0" w:color="000000"/>
              <w:right w:val="threeDEngrave" w:sz="24" w:space="0" w:color="000000"/>
            </w:tcBorders>
            <w:shd w:val="clear" w:color="auto" w:fill="FFFFFF"/>
            <w:tcMar>
              <w:top w:w="0" w:type="dxa"/>
              <w:left w:w="108" w:type="dxa"/>
              <w:bottom w:w="0" w:type="dxa"/>
              <w:right w:w="108" w:type="dxa"/>
            </w:tcMar>
            <w:vAlign w:val="center"/>
            <w:hideMark/>
          </w:tcPr>
          <w:p w:rsidR="00D45ABE" w:rsidRPr="00D45ABE" w:rsidRDefault="00D45ABE" w:rsidP="00D45ABE">
            <w:pPr>
              <w:spacing w:after="120" w:line="240" w:lineRule="auto"/>
              <w:ind w:left="86"/>
              <w:rPr>
                <w:rFonts w:ascii="Times New Roman" w:eastAsia="Times New Roman" w:hAnsi="Times New Roman" w:cs="Times New Roman"/>
                <w:color w:val="222222"/>
                <w:sz w:val="24"/>
                <w:szCs w:val="24"/>
                <w:lang w:eastAsia="es-ES"/>
              </w:rPr>
            </w:pPr>
            <w:hyperlink r:id="rId18" w:tgtFrame="_blank" w:history="1">
              <w:r w:rsidRPr="00D45ABE">
                <w:rPr>
                  <w:rFonts w:ascii="Arial" w:eastAsia="Times New Roman" w:hAnsi="Arial" w:cs="Arial"/>
                  <w:b/>
                  <w:bCs/>
                  <w:color w:val="000000"/>
                  <w:sz w:val="24"/>
                  <w:szCs w:val="24"/>
                  <w:u w:val="single"/>
                  <w:lang w:eastAsia="es-ES"/>
                </w:rPr>
                <w:t>Estadística del Procedimiento Concursal. EPC</w:t>
              </w:r>
            </w:hyperlink>
          </w:p>
          <w:p w:rsidR="00D45ABE" w:rsidRPr="00D45ABE" w:rsidRDefault="00D45ABE" w:rsidP="00D45ABE">
            <w:pPr>
              <w:spacing w:after="120" w:line="183" w:lineRule="atLeast"/>
              <w:ind w:left="86"/>
              <w:rPr>
                <w:rFonts w:ascii="Times New Roman" w:eastAsia="Times New Roman" w:hAnsi="Times New Roman" w:cs="Times New Roman"/>
                <w:color w:val="222222"/>
                <w:sz w:val="24"/>
                <w:szCs w:val="24"/>
                <w:lang w:eastAsia="es-ES"/>
              </w:rPr>
            </w:pPr>
            <w:r w:rsidRPr="00D45ABE">
              <w:rPr>
                <w:rFonts w:ascii="Arial" w:eastAsia="Times New Roman" w:hAnsi="Arial" w:cs="Arial"/>
                <w:color w:val="222222"/>
                <w:sz w:val="24"/>
                <w:szCs w:val="24"/>
                <w:lang w:eastAsia="es-ES"/>
              </w:rPr>
              <w:t xml:space="preserve">EPC. Cuarto trimestre 2016. El número de deudores concursados disminuye en tasa anual un 10,6% en el cuarto trimestre de 2016. En el conjunto del año 2016 el número de deudores </w:t>
            </w:r>
            <w:r w:rsidRPr="00D45ABE">
              <w:rPr>
                <w:rFonts w:ascii="Arial" w:eastAsia="Times New Roman" w:hAnsi="Arial" w:cs="Arial"/>
                <w:color w:val="222222"/>
                <w:sz w:val="24"/>
                <w:szCs w:val="24"/>
                <w:lang w:eastAsia="es-ES"/>
              </w:rPr>
              <w:lastRenderedPageBreak/>
              <w:t>concursados se redujo un 17,3%.</w:t>
            </w:r>
            <w:hyperlink r:id="rId19" w:tgtFrame="_blank" w:history="1">
              <w:r w:rsidRPr="00D45ABE">
                <w:rPr>
                  <w:rFonts w:ascii="Arial" w:eastAsia="Times New Roman" w:hAnsi="Arial" w:cs="Arial"/>
                  <w:color w:val="2B2D73"/>
                  <w:sz w:val="20"/>
                  <w:lang w:eastAsia="es-ES"/>
                </w:rPr>
                <w:t> </w:t>
              </w:r>
            </w:hyperlink>
          </w:p>
        </w:tc>
      </w:tr>
      <w:tr w:rsidR="00D45ABE" w:rsidRPr="00D45ABE" w:rsidTr="00D45ABE">
        <w:trPr>
          <w:trHeight w:val="183"/>
        </w:trPr>
        <w:tc>
          <w:tcPr>
            <w:tcW w:w="10950" w:type="dxa"/>
            <w:gridSpan w:val="2"/>
            <w:tcBorders>
              <w:top w:val="nil"/>
              <w:left w:val="threeDEngrave" w:sz="24" w:space="0" w:color="000000"/>
              <w:bottom w:val="threeDEngrave" w:sz="24" w:space="0" w:color="000000"/>
              <w:right w:val="threeDEngrave" w:sz="24" w:space="0" w:color="000000"/>
            </w:tcBorders>
            <w:shd w:val="clear" w:color="auto" w:fill="A6A6A6"/>
            <w:tcMar>
              <w:top w:w="0" w:type="dxa"/>
              <w:left w:w="108" w:type="dxa"/>
              <w:bottom w:w="0" w:type="dxa"/>
              <w:right w:w="108" w:type="dxa"/>
            </w:tcMar>
            <w:vAlign w:val="center"/>
            <w:hideMark/>
          </w:tcPr>
          <w:p w:rsidR="00D45ABE" w:rsidRPr="00D45ABE" w:rsidRDefault="00D45ABE" w:rsidP="00D45ABE">
            <w:pPr>
              <w:spacing w:after="120" w:line="183" w:lineRule="atLeast"/>
              <w:ind w:left="176"/>
              <w:jc w:val="center"/>
              <w:rPr>
                <w:rFonts w:ascii="Times New Roman" w:eastAsia="Times New Roman" w:hAnsi="Times New Roman" w:cs="Times New Roman"/>
                <w:color w:val="222222"/>
                <w:sz w:val="24"/>
                <w:szCs w:val="24"/>
                <w:lang w:eastAsia="es-ES"/>
              </w:rPr>
            </w:pPr>
            <w:r w:rsidRPr="00D45ABE">
              <w:rPr>
                <w:rFonts w:ascii="Arial" w:eastAsia="Times New Roman" w:hAnsi="Arial" w:cs="Arial"/>
                <w:b/>
                <w:bCs/>
                <w:color w:val="222222"/>
                <w:sz w:val="28"/>
                <w:szCs w:val="28"/>
                <w:lang w:eastAsia="es-ES"/>
              </w:rPr>
              <w:lastRenderedPageBreak/>
              <w:t>MINISTERIO DE JUSTICIA</w:t>
            </w:r>
          </w:p>
        </w:tc>
      </w:tr>
      <w:tr w:rsidR="00D45ABE" w:rsidRPr="00D45ABE" w:rsidTr="00D45ABE">
        <w:trPr>
          <w:trHeight w:val="183"/>
        </w:trPr>
        <w:tc>
          <w:tcPr>
            <w:tcW w:w="10950" w:type="dxa"/>
            <w:gridSpan w:val="2"/>
            <w:tcBorders>
              <w:top w:val="nil"/>
              <w:left w:val="threeDEngrave" w:sz="24" w:space="0" w:color="000000"/>
              <w:bottom w:val="threeDEngrave" w:sz="24" w:space="0" w:color="000000"/>
              <w:right w:val="threeDEngrave" w:sz="24" w:space="0" w:color="000000"/>
            </w:tcBorders>
            <w:shd w:val="clear" w:color="auto" w:fill="FFFFFF"/>
            <w:tcMar>
              <w:top w:w="0" w:type="dxa"/>
              <w:left w:w="108" w:type="dxa"/>
              <w:bottom w:w="0" w:type="dxa"/>
              <w:right w:w="108" w:type="dxa"/>
            </w:tcMar>
            <w:vAlign w:val="center"/>
            <w:hideMark/>
          </w:tcPr>
          <w:p w:rsidR="00D45ABE" w:rsidRPr="00D45ABE" w:rsidRDefault="00D45ABE" w:rsidP="00D45ABE">
            <w:pPr>
              <w:spacing w:after="120" w:line="240" w:lineRule="auto"/>
              <w:ind w:left="86"/>
              <w:rPr>
                <w:rFonts w:ascii="Times New Roman" w:eastAsia="Times New Roman" w:hAnsi="Times New Roman" w:cs="Times New Roman"/>
                <w:color w:val="222222"/>
                <w:sz w:val="24"/>
                <w:szCs w:val="24"/>
                <w:lang w:eastAsia="es-ES"/>
              </w:rPr>
            </w:pPr>
            <w:hyperlink r:id="rId20" w:tgtFrame="_blank" w:history="1">
              <w:r w:rsidRPr="00D45ABE">
                <w:rPr>
                  <w:rFonts w:ascii="Arial" w:eastAsia="Times New Roman" w:hAnsi="Arial" w:cs="Arial"/>
                  <w:b/>
                  <w:bCs/>
                  <w:color w:val="000000"/>
                  <w:u w:val="single"/>
                  <w:lang w:eastAsia="es-ES"/>
                </w:rPr>
                <w:t>Catalá defiende ante los letrados de la Administración de Justicia un Registro Civil público, gratuito y digital</w:t>
              </w:r>
            </w:hyperlink>
          </w:p>
          <w:p w:rsidR="00D45ABE" w:rsidRPr="00D45ABE" w:rsidRDefault="00D45ABE" w:rsidP="00D45ABE">
            <w:pPr>
              <w:spacing w:after="120" w:line="183" w:lineRule="atLeast"/>
              <w:ind w:left="86"/>
              <w:rPr>
                <w:rFonts w:ascii="Times New Roman" w:eastAsia="Times New Roman" w:hAnsi="Times New Roman" w:cs="Times New Roman"/>
                <w:color w:val="222222"/>
                <w:sz w:val="24"/>
                <w:szCs w:val="24"/>
                <w:lang w:eastAsia="es-ES"/>
              </w:rPr>
            </w:pPr>
            <w:hyperlink r:id="rId21" w:tgtFrame="_blank" w:history="1">
              <w:r w:rsidRPr="00D45ABE">
                <w:rPr>
                  <w:rFonts w:ascii="Arial" w:eastAsia="Times New Roman" w:hAnsi="Arial" w:cs="Arial"/>
                  <w:color w:val="000000"/>
                  <w:u w:val="single"/>
                  <w:lang w:eastAsia="es-ES"/>
                </w:rPr>
                <w:t>170207 Reunión con asociaciones de letrados de la Administración de Justicia</w:t>
              </w:r>
            </w:hyperlink>
          </w:p>
        </w:tc>
      </w:tr>
      <w:tr w:rsidR="00D45ABE" w:rsidRPr="00D45ABE" w:rsidTr="00D45ABE">
        <w:trPr>
          <w:trHeight w:val="183"/>
        </w:trPr>
        <w:tc>
          <w:tcPr>
            <w:tcW w:w="5475" w:type="dxa"/>
            <w:tcBorders>
              <w:top w:val="nil"/>
              <w:left w:val="threeDEngrave" w:sz="24" w:space="0" w:color="000000"/>
              <w:bottom w:val="threeDEngrave" w:sz="24" w:space="0" w:color="000000"/>
              <w:right w:val="threeDEngrave" w:sz="24" w:space="0" w:color="000000"/>
            </w:tcBorders>
            <w:shd w:val="clear" w:color="auto" w:fill="D9D9D9"/>
            <w:tcMar>
              <w:top w:w="0" w:type="dxa"/>
              <w:left w:w="108" w:type="dxa"/>
              <w:bottom w:w="0" w:type="dxa"/>
              <w:right w:w="108" w:type="dxa"/>
            </w:tcMar>
            <w:vAlign w:val="center"/>
            <w:hideMark/>
          </w:tcPr>
          <w:p w:rsidR="00D45ABE" w:rsidRPr="00D45ABE" w:rsidRDefault="00D45ABE" w:rsidP="00D45ABE">
            <w:pPr>
              <w:spacing w:after="120" w:line="183" w:lineRule="atLeast"/>
              <w:ind w:left="86"/>
              <w:jc w:val="center"/>
              <w:rPr>
                <w:rFonts w:ascii="Times New Roman" w:eastAsia="Times New Roman" w:hAnsi="Times New Roman" w:cs="Times New Roman"/>
                <w:color w:val="222222"/>
                <w:sz w:val="24"/>
                <w:szCs w:val="24"/>
                <w:lang w:eastAsia="es-ES"/>
              </w:rPr>
            </w:pPr>
            <w:r w:rsidRPr="00D45ABE">
              <w:rPr>
                <w:rFonts w:ascii="Arial" w:eastAsia="Times New Roman" w:hAnsi="Arial" w:cs="Arial"/>
                <w:b/>
                <w:bCs/>
                <w:color w:val="222222"/>
                <w:sz w:val="24"/>
                <w:szCs w:val="24"/>
                <w:lang w:eastAsia="es-ES"/>
              </w:rPr>
              <w:t>LEXNET</w:t>
            </w:r>
          </w:p>
        </w:tc>
        <w:tc>
          <w:tcPr>
            <w:tcW w:w="5475" w:type="dxa"/>
            <w:tcBorders>
              <w:top w:val="nil"/>
              <w:left w:val="nil"/>
              <w:bottom w:val="threeDEngrave" w:sz="24" w:space="0" w:color="000000"/>
              <w:right w:val="threeDEngrave" w:sz="24" w:space="0" w:color="000000"/>
            </w:tcBorders>
            <w:shd w:val="clear" w:color="auto" w:fill="FFFFFF"/>
            <w:tcMar>
              <w:top w:w="0" w:type="dxa"/>
              <w:left w:w="108" w:type="dxa"/>
              <w:bottom w:w="0" w:type="dxa"/>
              <w:right w:w="108" w:type="dxa"/>
            </w:tcMar>
            <w:vAlign w:val="center"/>
            <w:hideMark/>
          </w:tcPr>
          <w:p w:rsidR="00D45ABE" w:rsidRPr="00D45ABE" w:rsidRDefault="00D45ABE" w:rsidP="00D45ABE">
            <w:pPr>
              <w:spacing w:after="120" w:line="183" w:lineRule="atLeast"/>
              <w:ind w:left="86"/>
              <w:rPr>
                <w:rFonts w:ascii="Times New Roman" w:eastAsia="Times New Roman" w:hAnsi="Times New Roman" w:cs="Times New Roman"/>
                <w:color w:val="222222"/>
                <w:sz w:val="24"/>
                <w:szCs w:val="24"/>
                <w:lang w:eastAsia="es-ES"/>
              </w:rPr>
            </w:pPr>
            <w:r w:rsidRPr="00D45ABE">
              <w:rPr>
                <w:rFonts w:ascii="Arial" w:eastAsia="Times New Roman" w:hAnsi="Arial" w:cs="Arial"/>
                <w:b/>
                <w:bCs/>
                <w:color w:val="C00000"/>
                <w:lang w:eastAsia="es-ES"/>
              </w:rPr>
              <w:t>AVISO IMPORTANTE:</w:t>
            </w:r>
            <w:r w:rsidRPr="00D45ABE">
              <w:rPr>
                <w:rFonts w:ascii="Arial" w:eastAsia="Times New Roman" w:hAnsi="Arial" w:cs="Arial"/>
                <w:b/>
                <w:bCs/>
                <w:color w:val="222222"/>
                <w:lang w:eastAsia="es-ES"/>
              </w:rPr>
              <w:t> </w:t>
            </w:r>
            <w:r w:rsidRPr="00D45ABE">
              <w:rPr>
                <w:rFonts w:ascii="Arial" w:eastAsia="Times New Roman" w:hAnsi="Arial" w:cs="Arial"/>
                <w:color w:val="222222"/>
                <w:lang w:eastAsia="es-ES"/>
              </w:rPr>
              <w:t xml:space="preserve">La Subdirección General de Nuevas Tecnologías de Justicia del Ministerio de Justicia, como responsable de administrar, mantener el entorno operativo y la disponibilidad del sistema </w:t>
            </w:r>
            <w:proofErr w:type="spellStart"/>
            <w:r w:rsidRPr="00D45ABE">
              <w:rPr>
                <w:rFonts w:ascii="Arial" w:eastAsia="Times New Roman" w:hAnsi="Arial" w:cs="Arial"/>
                <w:color w:val="222222"/>
                <w:lang w:eastAsia="es-ES"/>
              </w:rPr>
              <w:t>Lexnet</w:t>
            </w:r>
            <w:proofErr w:type="spellEnd"/>
            <w:r w:rsidRPr="00D45ABE">
              <w:rPr>
                <w:rFonts w:ascii="Arial" w:eastAsia="Times New Roman" w:hAnsi="Arial" w:cs="Arial"/>
                <w:color w:val="222222"/>
                <w:lang w:eastAsia="es-ES"/>
              </w:rPr>
              <w:t>, notifica de la</w:t>
            </w:r>
            <w:r w:rsidRPr="00D45ABE">
              <w:rPr>
                <w:rFonts w:ascii="Arial" w:eastAsia="Times New Roman" w:hAnsi="Arial" w:cs="Arial"/>
                <w:b/>
                <w:bCs/>
                <w:color w:val="222222"/>
                <w:lang w:eastAsia="es-ES"/>
              </w:rPr>
              <w:t> parada que se llevará a cabo el martes 07 de febrero desde las 20:00 horas hasta 22:00 horas, con motivo de labores de mantenimiento</w:t>
            </w:r>
            <w:r w:rsidRPr="00D45ABE">
              <w:rPr>
                <w:rFonts w:ascii="Arial" w:eastAsia="Times New Roman" w:hAnsi="Arial" w:cs="Arial"/>
                <w:color w:val="222222"/>
                <w:lang w:eastAsia="es-ES"/>
              </w:rPr>
              <w:t>. Rogamos disculpen las molestias que estos trabajos les puedan ocasionar.</w:t>
            </w:r>
          </w:p>
        </w:tc>
      </w:tr>
    </w:tbl>
    <w:p w:rsidR="0089576A" w:rsidRDefault="0089576A"/>
    <w:sectPr w:rsidR="0089576A" w:rsidSect="00D45ABE">
      <w:pgSz w:w="16838" w:h="11906" w:orient="landscape"/>
      <w:pgMar w:top="567" w:right="1418"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45ABE"/>
    <w:rsid w:val="005D7CD6"/>
    <w:rsid w:val="0089576A"/>
    <w:rsid w:val="00D45A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6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45ABE"/>
    <w:rPr>
      <w:b/>
      <w:bCs/>
    </w:rPr>
  </w:style>
  <w:style w:type="character" w:styleId="Hipervnculo">
    <w:name w:val="Hyperlink"/>
    <w:basedOn w:val="Fuentedeprrafopredeter"/>
    <w:uiPriority w:val="99"/>
    <w:semiHidden/>
    <w:unhideWhenUsed/>
    <w:rsid w:val="00D45ABE"/>
    <w:rPr>
      <w:color w:val="0000FF"/>
      <w:u w:val="single"/>
    </w:rPr>
  </w:style>
  <w:style w:type="character" w:customStyle="1" w:styleId="m8137338130265486359auto-style8161">
    <w:name w:val="m_8137338130265486359auto-style8161"/>
    <w:basedOn w:val="Fuentedeprrafopredeter"/>
    <w:rsid w:val="00D45ABE"/>
  </w:style>
  <w:style w:type="character" w:customStyle="1" w:styleId="apple-converted-space">
    <w:name w:val="apple-converted-space"/>
    <w:basedOn w:val="Fuentedeprrafopredeter"/>
    <w:rsid w:val="00D45ABE"/>
  </w:style>
  <w:style w:type="character" w:customStyle="1" w:styleId="m8137338130265486359negrita1">
    <w:name w:val="m_8137338130265486359negrita1"/>
    <w:basedOn w:val="Fuentedeprrafopredeter"/>
    <w:rsid w:val="00D45ABE"/>
  </w:style>
  <w:style w:type="character" w:customStyle="1" w:styleId="m8137338130265486359bolo">
    <w:name w:val="m_8137338130265486359bolo"/>
    <w:basedOn w:val="Fuentedeprrafopredeter"/>
    <w:rsid w:val="00D45ABE"/>
  </w:style>
</w:styles>
</file>

<file path=word/webSettings.xml><?xml version="1.0" encoding="utf-8"?>
<w:webSettings xmlns:r="http://schemas.openxmlformats.org/officeDocument/2006/relationships" xmlns:w="http://schemas.openxmlformats.org/wordprocessingml/2006/main">
  <w:divs>
    <w:div w:id="188398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ncodias.com/cincodias/2017/02/06/economia/1486398293_510260.html" TargetMode="External"/><Relationship Id="rId13" Type="http://schemas.openxmlformats.org/officeDocument/2006/relationships/hyperlink" Target="http://www.agenciatributaria.es/static_files/AEAT/Aduanas/Contenidos_Privados/Folletos/Foll_Andorra.pdf" TargetMode="External"/><Relationship Id="rId18" Type="http://schemas.openxmlformats.org/officeDocument/2006/relationships/hyperlink" Target="http://www.ine.es/daco/daco42/epc/epc0416.pdf" TargetMode="External"/><Relationship Id="rId3" Type="http://schemas.openxmlformats.org/officeDocument/2006/relationships/webSettings" Target="webSettings.xml"/><Relationship Id="rId21" Type="http://schemas.openxmlformats.org/officeDocument/2006/relationships/hyperlink" Target="http://www.mjusticia.gob.es/cs/Satellite/Portal/1292428225903?blobheader=application%2Fpdf&amp;blobheadername1=Content-Disposition&amp;blobheadername2=Medios&amp;blobheadervalue1=attachment%3B+filename%3D170207_Reuni%C3%B3n_con_asociaciones_de_letrados_de_la_Administraci%C3%B3n_de_Justicia.pdf&amp;blobheadervalue2=1288794658571" TargetMode="External"/><Relationship Id="rId7" Type="http://schemas.openxmlformats.org/officeDocument/2006/relationships/hyperlink" Target="http://www.espacioasesoria.com/Noticias/responsabilidad-empresarial-en-danos-derivados-de-accidente-de-trabajo" TargetMode="External"/><Relationship Id="rId12" Type="http://schemas.openxmlformats.org/officeDocument/2006/relationships/hyperlink" Target="http://www.minhafp.gob.es/Documentacion/Publico/GabineteMinistro/Notas%20Prensa/2017/S.%20E.%20HACIENDA/06-02-17%20Desmentido%20MINHAFP.pdf" TargetMode="External"/><Relationship Id="rId17" Type="http://schemas.openxmlformats.org/officeDocument/2006/relationships/hyperlink" Target="http://www.mineco.gob.es/portal/site/mineco/menuitem.ac30f9268750bd56a0b0240e026041a0/?vgnextoid=686a40772a71a510VgnVCM1000001d04140aRCRD&amp;vgnextchannel=864e154527515310VgnVCM1000001d04140aRCRD" TargetMode="External"/><Relationship Id="rId2" Type="http://schemas.openxmlformats.org/officeDocument/2006/relationships/settings" Target="settings.xml"/><Relationship Id="rId16" Type="http://schemas.openxmlformats.org/officeDocument/2006/relationships/hyperlink" Target="http://www.mineco.gob.es/portal/site/mineco/menuitem.ac30f9268750bd56a0b0240e026041a0/?vgnextoid=2efcdcf91b71a510VgnVCM1000001d04140aRCRD&amp;vgnextchannel=864e154527515310VgnVCM1000001d04140aRCRD" TargetMode="External"/><Relationship Id="rId20" Type="http://schemas.openxmlformats.org/officeDocument/2006/relationships/hyperlink" Target="http://www.mjusticia.gob.es/cs/Satellite/Portal/es/ministerio/gabinete-comunicacion/noticias-ministerio/catala-defiende-ante-letrados" TargetMode="External"/><Relationship Id="rId1" Type="http://schemas.openxmlformats.org/officeDocument/2006/relationships/styles" Target="styles.xml"/><Relationship Id="rId6" Type="http://schemas.openxmlformats.org/officeDocument/2006/relationships/hyperlink" Target="http://www.graduadosocial.org/archivos/sentencia06022017.doc" TargetMode="External"/><Relationship Id="rId11" Type="http://schemas.openxmlformats.org/officeDocument/2006/relationships/hyperlink" Target="http://www.sepe.es/contenidos/comunicacion/noticias/boegarantiajuvenil7-2-17.html" TargetMode="External"/><Relationship Id="rId5" Type="http://schemas.openxmlformats.org/officeDocument/2006/relationships/hyperlink" Target="http://www.graduadosocial.org/archivos/sentencia06022017.pdf" TargetMode="External"/><Relationship Id="rId15" Type="http://schemas.openxmlformats.org/officeDocument/2006/relationships/hyperlink" Target="http://www.agenciatributaria.es/AEAT.internet/Inicio/Novedades/2017/Febrero/Proyecto_de_Orden_por_la_que_se_regulan_las_especificaciones_normativas_y_tecnicas_de_desarrollo_del_SII.shtml" TargetMode="External"/><Relationship Id="rId23" Type="http://schemas.openxmlformats.org/officeDocument/2006/relationships/theme" Target="theme/theme1.xml"/><Relationship Id="rId10" Type="http://schemas.openxmlformats.org/officeDocument/2006/relationships/hyperlink" Target="http://prensa.empleo.gob.es/WebPrensa/noticias/ministro/detalle/2973" TargetMode="External"/><Relationship Id="rId19" Type="http://schemas.openxmlformats.org/officeDocument/2006/relationships/hyperlink" Target="http://www.ine.es/jaxi/menu.do?type=pcaxis&amp;path=%2Ft30%2Fp219&amp;file=inebase&amp;L=0" TargetMode="External"/><Relationship Id="rId4" Type="http://schemas.openxmlformats.org/officeDocument/2006/relationships/hyperlink" Target="http://www.graduadosocial.org/detalle_sentencias.php?id=108" TargetMode="External"/><Relationship Id="rId9" Type="http://schemas.openxmlformats.org/officeDocument/2006/relationships/hyperlink" Target="http://cincodias.com/cincodias/2017/02/06/economia/1486393855_938185.html" TargetMode="External"/><Relationship Id="rId14" Type="http://schemas.openxmlformats.org/officeDocument/2006/relationships/hyperlink" Target="http://www.agenciatributaria.es/AEAT.internet/Inicio/Novedades/2017/Febrero/Informacion_tecnica_y_preguntas_frecuentes__version_05_.shtml"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7445</Characters>
  <Application>Microsoft Office Word</Application>
  <DocSecurity>0</DocSecurity>
  <Lines>62</Lines>
  <Paragraphs>17</Paragraphs>
  <ScaleCrop>false</ScaleCrop>
  <Company>Consejo General</Company>
  <LinksUpToDate>false</LinksUpToDate>
  <CharactersWithSpaces>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JoseLuis</dc:creator>
  <cp:keywords/>
  <dc:description/>
  <cp:lastModifiedBy>JoseLuis</cp:lastModifiedBy>
  <cp:revision>2</cp:revision>
  <dcterms:created xsi:type="dcterms:W3CDTF">2017-02-08T09:12:00Z</dcterms:created>
  <dcterms:modified xsi:type="dcterms:W3CDTF">2017-02-08T09:12:00Z</dcterms:modified>
</cp:coreProperties>
</file>